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Times New Roman"/>
          <w:sz w:val="32"/>
          <w:szCs w:val="32"/>
          <w:lang w:val="en-US" w:eastAsia="zh-CN"/>
        </w:rPr>
      </w:pPr>
    </w:p>
    <w:p>
      <w:pPr>
        <w:rPr>
          <w:rFonts w:hint="eastAsia" w:cs="Times New Roman"/>
          <w:sz w:val="32"/>
          <w:szCs w:val="32"/>
          <w:lang w:eastAsia="zh-CN"/>
        </w:rPr>
      </w:pPr>
    </w:p>
    <w:p>
      <w:pPr>
        <w:spacing w:line="336" w:lineRule="auto"/>
        <w:jc w:val="center"/>
        <w:rPr>
          <w:rFonts w:hint="eastAsia" w:ascii="仿宋_GB2312" w:hAnsi="宋体" w:eastAsia="仿宋_GB2312"/>
          <w:sz w:val="32"/>
          <w:szCs w:val="32"/>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lang w:val="en-US" w:eastAsia="zh-CN"/>
        </w:rPr>
      </w:pPr>
      <w:r>
        <w:rPr>
          <w:rFonts w:hint="eastAsia" w:ascii="宋体" w:hAnsi="宋体"/>
          <w:b/>
          <w:sz w:val="44"/>
          <w:szCs w:val="44"/>
          <w:lang w:val="en-US" w:eastAsia="zh-CN"/>
        </w:rPr>
        <w:t>锡林郭勒盟住房公积金中心</w:t>
      </w:r>
    </w:p>
    <w:p>
      <w:pPr>
        <w:spacing w:line="560" w:lineRule="exact"/>
        <w:jc w:val="center"/>
        <w:rPr>
          <w:rFonts w:hint="default" w:ascii="宋体" w:hAnsi="宋体" w:eastAsiaTheme="minorEastAsia"/>
          <w:b/>
          <w:sz w:val="44"/>
          <w:szCs w:val="44"/>
          <w:lang w:val="en-US" w:eastAsia="zh-CN"/>
        </w:rPr>
      </w:pPr>
      <w:bookmarkStart w:id="1" w:name="_GoBack"/>
      <w:bookmarkEnd w:id="1"/>
      <w:r>
        <w:rPr>
          <w:rFonts w:hint="eastAsia" w:ascii="宋体" w:hAnsi="宋体"/>
          <w:b/>
          <w:sz w:val="44"/>
          <w:szCs w:val="44"/>
          <w:lang w:val="en-US" w:eastAsia="zh-CN"/>
        </w:rPr>
        <w:t>（锡林郭勒盟住房公积金管理中心）</w:t>
      </w:r>
    </w:p>
    <w:p>
      <w:pPr>
        <w:spacing w:line="560" w:lineRule="exact"/>
        <w:jc w:val="center"/>
        <w:rPr>
          <w:rFonts w:hint="eastAsia"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1</w:t>
      </w:r>
      <w:r>
        <w:rPr>
          <w:rFonts w:hint="eastAsia" w:ascii="宋体" w:hAnsi="宋体"/>
          <w:b/>
          <w:sz w:val="44"/>
          <w:szCs w:val="44"/>
        </w:rPr>
        <w:t>年预算公开报告</w:t>
      </w: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ind w:firstLine="3040" w:firstLineChars="950"/>
        <w:rPr>
          <w:rFonts w:hint="eastAsia"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1</w:t>
      </w:r>
      <w:r>
        <w:rPr>
          <w:rFonts w:hint="eastAsia" w:ascii="楷体_GB2312" w:eastAsia="楷体_GB2312"/>
          <w:sz w:val="32"/>
          <w:szCs w:val="32"/>
        </w:rPr>
        <w:t xml:space="preserve">年 </w:t>
      </w:r>
      <w:r>
        <w:rPr>
          <w:rFonts w:hint="eastAsia" w:ascii="楷体_GB2312" w:eastAsia="楷体_GB2312"/>
          <w:sz w:val="32"/>
          <w:szCs w:val="32"/>
          <w:lang w:val="en-US" w:eastAsia="zh-CN"/>
        </w:rPr>
        <w:t>5</w:t>
      </w:r>
      <w:r>
        <w:rPr>
          <w:rFonts w:hint="eastAsia" w:ascii="楷体_GB2312" w:eastAsia="楷体_GB2312"/>
          <w:sz w:val="32"/>
          <w:szCs w:val="32"/>
        </w:rPr>
        <w:t xml:space="preserve"> 月 </w:t>
      </w:r>
      <w:r>
        <w:rPr>
          <w:rFonts w:hint="eastAsia" w:ascii="楷体_GB2312" w:eastAsia="楷体_GB2312"/>
          <w:sz w:val="32"/>
          <w:szCs w:val="32"/>
          <w:lang w:val="en-US" w:eastAsia="zh-CN"/>
        </w:rPr>
        <w:t xml:space="preserve">12 </w:t>
      </w:r>
      <w:r>
        <w:rPr>
          <w:rFonts w:hint="eastAsia" w:ascii="楷体_GB2312" w:eastAsia="楷体_GB2312"/>
          <w:sz w:val="32"/>
          <w:szCs w:val="32"/>
        </w:rPr>
        <w:t>日</w:t>
      </w:r>
    </w:p>
    <w:p>
      <w:pPr>
        <w:adjustRightInd w:val="0"/>
        <w:snapToGrid w:val="0"/>
        <w:spacing w:line="56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hint="eastAsia" w:ascii="楷体_GB2312" w:hAnsi="宋体" w:eastAsia="楷体_GB2312"/>
          <w:b/>
          <w:color w:val="000000"/>
          <w:sz w:val="32"/>
          <w:szCs w:val="32"/>
        </w:rPr>
      </w:pPr>
      <w:r>
        <w:rPr>
          <w:rFonts w:hint="eastAsia" w:ascii="楷体_GB2312" w:hAnsi="宋体" w:eastAsia="楷体_GB2312"/>
          <w:b/>
          <w:color w:val="000000"/>
          <w:sz w:val="32"/>
          <w:szCs w:val="32"/>
        </w:rPr>
        <w:t>第一部分  部门</w:t>
      </w:r>
      <w:r>
        <w:rPr>
          <w:rFonts w:hint="eastAsia" w:ascii="楷体_GB2312" w:hAnsi="宋体" w:eastAsia="楷体_GB2312"/>
          <w:b/>
          <w:color w:val="000000"/>
          <w:sz w:val="32"/>
          <w:szCs w:val="32"/>
          <w:lang w:eastAsia="zh-CN"/>
        </w:rPr>
        <w:t>所属单位</w:t>
      </w:r>
      <w:r>
        <w:rPr>
          <w:rFonts w:hint="eastAsia" w:ascii="楷体_GB2312" w:hAnsi="宋体" w:eastAsia="楷体_GB2312"/>
          <w:b/>
          <w:color w:val="000000"/>
          <w:sz w:val="32"/>
          <w:szCs w:val="32"/>
        </w:rPr>
        <w:t>概况</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1</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hint="eastAsia"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adjustRightInd w:val="0"/>
        <w:snapToGrid w:val="0"/>
        <w:spacing w:line="560" w:lineRule="exac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hint="eastAsia"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1</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val="en-US" w:eastAsia="zh-CN"/>
        </w:rPr>
        <w:t>1.</w:t>
      </w:r>
      <w:r>
        <w:rPr>
          <w:rFonts w:hint="eastAsia" w:ascii="楷体_GB2312" w:hAnsi="黑体" w:eastAsia="楷体_GB2312"/>
          <w:color w:val="000000"/>
          <w:sz w:val="32"/>
          <w:szCs w:val="32"/>
          <w:lang w:eastAsia="zh-CN"/>
        </w:rPr>
        <w:t>部门收支总体情况表。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val="en-US" w:eastAsia="zh-CN"/>
        </w:rPr>
        <w:t>2.</w:t>
      </w:r>
      <w:r>
        <w:rPr>
          <w:rFonts w:hint="eastAsia" w:ascii="楷体_GB2312" w:hAnsi="黑体" w:eastAsia="楷体_GB2312"/>
          <w:color w:val="000000"/>
          <w:sz w:val="32"/>
          <w:szCs w:val="32"/>
          <w:lang w:eastAsia="zh-CN"/>
        </w:rPr>
        <w:t>部门收入总体情况表。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val="en-US" w:eastAsia="zh-CN"/>
        </w:rPr>
        <w:t>3.</w:t>
      </w:r>
      <w:r>
        <w:rPr>
          <w:rFonts w:hint="eastAsia" w:ascii="楷体_GB2312" w:hAnsi="黑体" w:eastAsia="楷体_GB2312"/>
          <w:color w:val="000000"/>
          <w:sz w:val="32"/>
          <w:szCs w:val="32"/>
          <w:lang w:eastAsia="zh-CN"/>
        </w:rPr>
        <w:t>部门支出总体情况表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val="en-US" w:eastAsia="zh-CN"/>
        </w:rPr>
        <w:t>4.</w:t>
      </w:r>
      <w:r>
        <w:rPr>
          <w:rFonts w:hint="eastAsia" w:ascii="楷体_GB2312" w:hAnsi="黑体" w:eastAsia="楷体_GB2312"/>
          <w:color w:val="000000"/>
          <w:sz w:val="32"/>
          <w:szCs w:val="32"/>
          <w:lang w:eastAsia="zh-CN"/>
        </w:rPr>
        <w:t>财政拨款收支总体情况表。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val="en-US" w:eastAsia="zh-CN"/>
        </w:rPr>
        <w:t>5.</w:t>
      </w:r>
      <w:r>
        <w:rPr>
          <w:rFonts w:hint="eastAsia" w:ascii="楷体_GB2312" w:hAnsi="黑体" w:eastAsia="楷体_GB2312"/>
          <w:color w:val="000000"/>
          <w:sz w:val="32"/>
          <w:szCs w:val="32"/>
          <w:lang w:eastAsia="zh-CN"/>
        </w:rPr>
        <w:t>一般公共预算支出情况表。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val="en-US" w:eastAsia="zh-CN"/>
        </w:rPr>
        <w:t>6.</w:t>
      </w:r>
      <w:r>
        <w:rPr>
          <w:rFonts w:hint="eastAsia" w:ascii="楷体_GB2312" w:hAnsi="黑体" w:eastAsia="楷体_GB2312"/>
          <w:color w:val="000000"/>
          <w:sz w:val="32"/>
          <w:szCs w:val="32"/>
          <w:lang w:eastAsia="zh-CN"/>
        </w:rPr>
        <w:t>一般公共预算基本支出情况表。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val="en-US" w:eastAsia="zh-CN"/>
        </w:rPr>
        <w:t>7.</w:t>
      </w:r>
      <w:r>
        <w:rPr>
          <w:rFonts w:hint="eastAsia" w:ascii="楷体_GB2312" w:hAnsi="黑体" w:eastAsia="楷体_GB2312"/>
          <w:color w:val="000000"/>
          <w:sz w:val="32"/>
          <w:szCs w:val="32"/>
          <w:lang w:eastAsia="zh-CN"/>
        </w:rPr>
        <w:t>一般公共预算“三公”经费支出情况表。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val="en-US" w:eastAsia="zh-CN"/>
        </w:rPr>
        <w:t>8.</w:t>
      </w:r>
      <w:r>
        <w:rPr>
          <w:rFonts w:hint="eastAsia" w:ascii="楷体_GB2312" w:hAnsi="黑体" w:eastAsia="楷体_GB2312"/>
          <w:color w:val="000000"/>
          <w:sz w:val="32"/>
          <w:szCs w:val="32"/>
          <w:lang w:eastAsia="zh-CN"/>
        </w:rPr>
        <w:t>政府性基金预算支出情况表。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val="en-US" w:eastAsia="zh-CN"/>
        </w:rPr>
        <w:t>9.</w:t>
      </w:r>
      <w:r>
        <w:rPr>
          <w:rFonts w:hint="eastAsia" w:ascii="楷体_GB2312" w:hAnsi="黑体" w:eastAsia="楷体_GB2312"/>
          <w:color w:val="000000"/>
          <w:sz w:val="32"/>
          <w:szCs w:val="32"/>
          <w:lang w:eastAsia="zh-CN"/>
        </w:rPr>
        <w:t>项目支出绩效目标申报表</w:t>
      </w:r>
    </w:p>
    <w:p>
      <w:pPr>
        <w:tabs>
          <w:tab w:val="left" w:pos="545"/>
        </w:tabs>
        <w:adjustRightInd w:val="0"/>
        <w:snapToGrid w:val="0"/>
        <w:spacing w:line="560" w:lineRule="exact"/>
        <w:ind w:firstLine="640" w:firstLineChars="200"/>
        <w:rPr>
          <w:rFonts w:hint="default"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eastAsia="zh-CN"/>
        </w:rPr>
        <w:t>10.</w:t>
      </w:r>
      <w:r>
        <w:rPr>
          <w:rFonts w:hint="eastAsia" w:ascii="楷体_GB2312" w:hAnsi="黑体" w:eastAsia="楷体_GB2312"/>
          <w:color w:val="000000"/>
          <w:sz w:val="32"/>
          <w:szCs w:val="32"/>
          <w:lang w:eastAsia="zh-CN"/>
        </w:rPr>
        <w:t>政府采购预算明细表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eastAsia="zh-CN"/>
        </w:rPr>
      </w:pPr>
    </w:p>
    <w:p>
      <w:pPr>
        <w:spacing w:line="560" w:lineRule="exact"/>
        <w:jc w:val="center"/>
        <w:rPr>
          <w:rFonts w:hint="eastAsia" w:ascii="楷体_GB2312" w:eastAsia="楷体_GB2312"/>
          <w:b/>
          <w:sz w:val="36"/>
          <w:szCs w:val="36"/>
        </w:rPr>
      </w:pPr>
    </w:p>
    <w:p>
      <w:pPr>
        <w:spacing w:line="560" w:lineRule="exact"/>
        <w:jc w:val="center"/>
        <w:rPr>
          <w:rFonts w:hint="eastAsia" w:ascii="楷体_GB2312" w:eastAsia="楷体_GB2312"/>
          <w:b/>
          <w:sz w:val="36"/>
          <w:szCs w:val="36"/>
        </w:rPr>
      </w:pPr>
    </w:p>
    <w:p>
      <w:pPr>
        <w:spacing w:line="560" w:lineRule="exact"/>
        <w:jc w:val="center"/>
        <w:rPr>
          <w:rFonts w:hint="eastAsia" w:ascii="楷体_GB2312" w:eastAsia="楷体_GB2312"/>
          <w:b/>
          <w:sz w:val="36"/>
          <w:szCs w:val="36"/>
        </w:rPr>
      </w:pPr>
    </w:p>
    <w:p>
      <w:pPr>
        <w:spacing w:line="560" w:lineRule="exact"/>
        <w:jc w:val="center"/>
        <w:rPr>
          <w:rFonts w:hint="eastAsia" w:ascii="楷体_GB2312" w:eastAsia="楷体_GB2312"/>
          <w:b/>
          <w:sz w:val="36"/>
          <w:szCs w:val="36"/>
        </w:rPr>
      </w:pPr>
    </w:p>
    <w:p>
      <w:pPr>
        <w:spacing w:line="560" w:lineRule="exact"/>
        <w:jc w:val="center"/>
        <w:rPr>
          <w:rFonts w:hint="eastAsia" w:ascii="楷体_GB2312" w:eastAsia="楷体_GB2312"/>
          <w:b/>
          <w:sz w:val="36"/>
          <w:szCs w:val="36"/>
        </w:rPr>
      </w:pPr>
    </w:p>
    <w:p>
      <w:pPr>
        <w:spacing w:line="560" w:lineRule="exact"/>
        <w:jc w:val="center"/>
        <w:rPr>
          <w:rFonts w:hint="eastAsia" w:ascii="楷体_GB2312" w:eastAsia="楷体_GB2312"/>
          <w:b/>
          <w:sz w:val="36"/>
          <w:szCs w:val="36"/>
        </w:rPr>
      </w:pPr>
    </w:p>
    <w:p>
      <w:pPr>
        <w:spacing w:line="560" w:lineRule="exact"/>
        <w:jc w:val="center"/>
        <w:rPr>
          <w:rFonts w:hint="eastAsia" w:ascii="楷体_GB2312" w:eastAsia="楷体_GB2312"/>
          <w:b/>
          <w:sz w:val="36"/>
          <w:szCs w:val="36"/>
        </w:rPr>
      </w:pPr>
      <w:r>
        <w:rPr>
          <w:rFonts w:hint="eastAsia" w:ascii="楷体_GB2312" w:eastAsia="楷体_GB2312"/>
          <w:b/>
          <w:sz w:val="36"/>
          <w:szCs w:val="36"/>
        </w:rPr>
        <w:t>第一部分  部门概况</w:t>
      </w:r>
    </w:p>
    <w:p>
      <w:pPr>
        <w:numPr>
          <w:ilvl w:val="0"/>
          <w:numId w:val="0"/>
        </w:numPr>
        <w:spacing w:line="560" w:lineRule="exact"/>
        <w:jc w:val="both"/>
        <w:rPr>
          <w:rFonts w:hint="eastAsia" w:ascii="黑体" w:hAnsi="黑体" w:eastAsia="黑体"/>
          <w:sz w:val="32"/>
          <w:szCs w:val="32"/>
        </w:rPr>
      </w:pPr>
      <w:r>
        <w:rPr>
          <w:rFonts w:hint="eastAsia" w:ascii="黑体" w:hAnsi="黑体" w:eastAsia="黑体"/>
          <w:sz w:val="32"/>
          <w:szCs w:val="32"/>
          <w:lang w:val="en-US" w:eastAsia="zh-CN"/>
        </w:rPr>
        <w:t xml:space="preserve">    一、 </w:t>
      </w:r>
      <w:r>
        <w:rPr>
          <w:rFonts w:hint="eastAsia" w:ascii="黑体" w:hAnsi="黑体" w:eastAsia="黑体"/>
          <w:sz w:val="32"/>
          <w:szCs w:val="32"/>
        </w:rPr>
        <w:t>主要职能</w:t>
      </w:r>
    </w:p>
    <w:p>
      <w:pPr>
        <w:numPr>
          <w:ilvl w:val="0"/>
          <w:numId w:val="0"/>
        </w:numPr>
        <w:spacing w:before="0" w:after="0" w:line="240" w:lineRule="auto"/>
        <w:jc w:val="both"/>
        <w:rPr>
          <w:rFonts w:hint="eastAsia" w:eastAsia="仿宋_GB2312"/>
          <w:sz w:val="32"/>
          <w:szCs w:val="32"/>
          <w:lang w:val="en-US" w:eastAsia="zh-CN"/>
        </w:rPr>
      </w:pPr>
      <w:r>
        <w:rPr>
          <w:rFonts w:hint="eastAsia" w:eastAsia="仿宋_GB2312"/>
          <w:sz w:val="32"/>
          <w:szCs w:val="32"/>
          <w:lang w:val="en-US" w:eastAsia="zh-CN"/>
        </w:rPr>
        <w:t xml:space="preserve">   （一）部门职能  </w:t>
      </w:r>
    </w:p>
    <w:p>
      <w:pPr>
        <w:numPr>
          <w:ilvl w:val="0"/>
          <w:numId w:val="0"/>
        </w:numPr>
        <w:spacing w:line="560" w:lineRule="exact"/>
        <w:ind w:firstLine="640"/>
        <w:jc w:val="both"/>
        <w:rPr>
          <w:rFonts w:hint="eastAsia" w:eastAsia="仿宋_GB2312"/>
          <w:sz w:val="32"/>
          <w:szCs w:val="32"/>
        </w:rPr>
      </w:pPr>
      <w:r>
        <w:rPr>
          <w:rFonts w:hint="eastAsia" w:eastAsia="仿宋_GB2312"/>
          <w:sz w:val="32"/>
          <w:szCs w:val="32"/>
          <w:lang w:eastAsia="zh-CN"/>
        </w:rPr>
        <w:t>锡林郭勒盟住房公积金中心为盟住房和城乡建设局所属公益一类事业单位，机构规格相当于正处级，承担全盟住房公积金服务工作。</w:t>
      </w:r>
    </w:p>
    <w:p>
      <w:pPr>
        <w:snapToGrid w:val="0"/>
        <w:spacing w:line="560" w:lineRule="exact"/>
        <w:rPr>
          <w:rFonts w:hint="eastAsia" w:ascii="楷体_GB2312" w:eastAsia="楷体_GB2312"/>
          <w:sz w:val="32"/>
          <w:szCs w:val="32"/>
        </w:rPr>
      </w:pPr>
      <w:r>
        <w:rPr>
          <w:rFonts w:hint="eastAsia" w:eastAsia="仿宋_GB2312"/>
          <w:sz w:val="32"/>
          <w:szCs w:val="32"/>
          <w:lang w:val="en-US" w:eastAsia="zh-CN"/>
        </w:rPr>
        <w:t xml:space="preserve">   </w:t>
      </w:r>
      <w:r>
        <w:rPr>
          <w:rFonts w:hint="eastAsia" w:ascii="楷体_GB2312" w:eastAsia="楷体_GB2312"/>
          <w:sz w:val="32"/>
          <w:szCs w:val="32"/>
        </w:rPr>
        <w:t>（二）部门主要职责</w:t>
      </w:r>
    </w:p>
    <w:p>
      <w:pPr>
        <w:pStyle w:val="2"/>
        <w:numPr>
          <w:ilvl w:val="0"/>
          <w:numId w:val="0"/>
        </w:numPr>
        <w:spacing w:before="0" w:beforeAutospacing="0" w:after="0" w:afterAutospacing="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承担住房公积金缴存登记相关辅助工作。</w:t>
      </w:r>
    </w:p>
    <w:p>
      <w:pPr>
        <w:pStyle w:val="2"/>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拟制、落实全盟住房公积金缴存、使用计划，拟制全盟住房公积金缴存、使用计划执行情况报告。</w:t>
      </w:r>
    </w:p>
    <w:p>
      <w:pPr>
        <w:pStyle w:val="2"/>
        <w:spacing w:before="0" w:beforeAutospacing="0" w:after="0" w:afterAutospacing="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eastAsia="zh-CN"/>
        </w:rPr>
        <w:t>承担全盟行政辖区内各类单位及职工、自由职业者和个体工商户住房公积金的缴存、提取、使用等情况的记载工作。</w:t>
      </w:r>
    </w:p>
    <w:p>
      <w:pPr>
        <w:pStyle w:val="2"/>
        <w:spacing w:before="0" w:beforeAutospacing="0" w:after="0" w:afterAutospacing="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4.负</w:t>
      </w:r>
      <w:r>
        <w:rPr>
          <w:rFonts w:hint="eastAsia" w:ascii="仿宋_GB2312" w:hAnsi="仿宋_GB2312" w:eastAsia="仿宋_GB2312" w:cs="仿宋_GB2312"/>
          <w:sz w:val="32"/>
          <w:szCs w:val="32"/>
          <w:lang w:eastAsia="zh-CN"/>
        </w:rPr>
        <w:t>责住房公积金的核算、保值和归还。</w:t>
      </w:r>
    </w:p>
    <w:p>
      <w:pPr>
        <w:pStyle w:val="2"/>
        <w:spacing w:before="0" w:beforeAutospacing="0" w:after="0" w:afterAutospacing="0"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eastAsia="zh-CN"/>
        </w:rPr>
        <w:t>承担住房公积金提取业务办理和住房公积金贷款的发放、回收工作。</w:t>
      </w:r>
    </w:p>
    <w:p>
      <w:pPr>
        <w:numPr>
          <w:ilvl w:val="0"/>
          <w:numId w:val="0"/>
        </w:numPr>
        <w:spacing w:line="56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6.承办盟住房</w:t>
      </w:r>
      <w:r>
        <w:rPr>
          <w:rFonts w:hint="eastAsia" w:ascii="仿宋_GB2312" w:hAnsi="仿宋_GB2312" w:eastAsia="仿宋_GB2312" w:cs="仿宋_GB2312"/>
          <w:sz w:val="32"/>
          <w:szCs w:val="32"/>
          <w:lang w:eastAsia="zh-CN"/>
        </w:rPr>
        <w:t>公积金管理委员会决定的其他事项。</w:t>
      </w:r>
    </w:p>
    <w:p>
      <w:pPr>
        <w:numPr>
          <w:ilvl w:val="0"/>
          <w:numId w:val="0"/>
        </w:numPr>
        <w:spacing w:line="56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7.完成盟住房和城乡建设局交办的其他工作任务。</w:t>
      </w:r>
    </w:p>
    <w:p>
      <w:pPr>
        <w:keepNext w:val="0"/>
        <w:keepLines w:val="0"/>
        <w:pageBreakBefore w:val="0"/>
        <w:widowControl/>
        <w:kinsoku/>
        <w:wordWrap/>
        <w:overflowPunct/>
        <w:topLinePunct w:val="0"/>
        <w:autoSpaceDE/>
        <w:autoSpaceDN/>
        <w:bidi w:val="0"/>
        <w:snapToGrid w:val="0"/>
        <w:spacing w:line="500" w:lineRule="exact"/>
        <w:ind w:firstLine="640"/>
        <w:textAlignment w:val="auto"/>
        <w:rPr>
          <w:rFonts w:hint="eastAsia"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hint="eastAsia" w:eastAsia="仿宋_GB2312"/>
          <w:sz w:val="32"/>
          <w:szCs w:val="32"/>
        </w:rPr>
      </w:pPr>
      <w:r>
        <w:rPr>
          <w:rFonts w:hint="eastAsia" w:eastAsia="仿宋_GB2312"/>
          <w:sz w:val="32"/>
          <w:szCs w:val="32"/>
        </w:rPr>
        <w:t>从预算单位构成看，</w:t>
      </w:r>
      <w:r>
        <w:rPr>
          <w:rFonts w:hint="eastAsia" w:eastAsia="仿宋_GB2312"/>
          <w:sz w:val="32"/>
          <w:szCs w:val="32"/>
          <w:lang w:eastAsia="zh-CN"/>
        </w:rPr>
        <w:t>锡林郭勒盟住房公积金中心</w:t>
      </w:r>
      <w:r>
        <w:rPr>
          <w:rFonts w:hint="eastAsia" w:eastAsia="仿宋_GB2312"/>
          <w:sz w:val="32"/>
          <w:szCs w:val="32"/>
        </w:rPr>
        <w:t>预算包括：</w:t>
      </w:r>
      <w:r>
        <w:rPr>
          <w:rFonts w:hint="eastAsia" w:eastAsia="仿宋_GB2312"/>
          <w:sz w:val="32"/>
          <w:szCs w:val="32"/>
          <w:lang w:eastAsia="zh-CN"/>
        </w:rPr>
        <w:t>盟中心</w:t>
      </w:r>
      <w:r>
        <w:rPr>
          <w:rFonts w:hint="eastAsia" w:eastAsia="仿宋_GB2312"/>
          <w:sz w:val="32"/>
          <w:szCs w:val="32"/>
        </w:rPr>
        <w:t>本级</w:t>
      </w:r>
      <w:r>
        <w:rPr>
          <w:rFonts w:hint="eastAsia" w:eastAsia="仿宋_GB2312"/>
          <w:sz w:val="32"/>
          <w:szCs w:val="32"/>
          <w:lang w:eastAsia="zh-CN"/>
        </w:rPr>
        <w:t>和旗县市（区）分支机构</w:t>
      </w:r>
      <w:r>
        <w:rPr>
          <w:rFonts w:hint="eastAsia" w:eastAsia="仿宋_GB2312"/>
          <w:sz w:val="32"/>
          <w:szCs w:val="32"/>
        </w:rPr>
        <w:t>预算。</w:t>
      </w:r>
    </w:p>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28"/>
          <w:szCs w:val="28"/>
          <w:lang w:eastAsia="zh-CN"/>
        </w:rPr>
        <w:t>（一）锡林郭勒盟住房公积金中心</w:t>
      </w:r>
      <w:r>
        <w:rPr>
          <w:rFonts w:hint="eastAsia" w:ascii="仿宋_GB2312" w:hAnsi="仿宋_GB2312" w:eastAsia="仿宋_GB2312" w:cs="仿宋_GB2312"/>
          <w:sz w:val="28"/>
          <w:szCs w:val="28"/>
        </w:rPr>
        <w:t>部门机构及人员基本情况</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盟本级及下设分支机构预算单位共13家，其中：财政拨款的公益一类事业单位13家。</w:t>
      </w:r>
    </w:p>
    <w:p>
      <w:pPr>
        <w:spacing w:line="600" w:lineRule="exact"/>
        <w:rPr>
          <w:rFonts w:hint="eastAsia" w:ascii="仿宋_GB2312" w:hAnsi="黑体" w:eastAsia="仿宋_GB2312"/>
          <w:sz w:val="32"/>
          <w:szCs w:val="32"/>
        </w:rPr>
      </w:pPr>
      <w:r>
        <w:rPr>
          <w:rFonts w:hint="eastAsia" w:ascii="仿宋_GB2312" w:hAnsi="仿宋_GB2312" w:eastAsia="仿宋_GB2312" w:cs="仿宋_GB2312"/>
          <w:sz w:val="32"/>
          <w:szCs w:val="32"/>
          <w:lang w:val="en-US" w:eastAsia="zh-CN"/>
        </w:rPr>
        <w:t xml:space="preserve">    人员基本情况：</w:t>
      </w:r>
      <w:r>
        <w:rPr>
          <w:rFonts w:hint="eastAsia" w:ascii="仿宋_GB2312" w:hAnsi="仿宋_GB2312" w:eastAsia="仿宋_GB2312" w:cs="仿宋_GB2312"/>
          <w:sz w:val="32"/>
          <w:szCs w:val="32"/>
        </w:rPr>
        <w:t>全盟住房公积金中心系统编制人数</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人，实有人数</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其中：在职职工</w:t>
      </w:r>
      <w:r>
        <w:rPr>
          <w:rFonts w:hint="eastAsia" w:ascii="仿宋_GB2312" w:hAnsi="仿宋_GB2312" w:eastAsia="仿宋_GB2312" w:cs="仿宋_GB2312"/>
          <w:sz w:val="32"/>
          <w:szCs w:val="32"/>
          <w:lang w:val="en-US" w:eastAsia="zh-CN"/>
        </w:rPr>
        <w:t>68人，人才引进人员9人；</w:t>
      </w:r>
      <w:r>
        <w:rPr>
          <w:rFonts w:hint="eastAsia" w:ascii="仿宋_GB2312" w:hAnsi="仿宋_GB2312" w:eastAsia="仿宋_GB2312" w:cs="仿宋_GB2312"/>
          <w:sz w:val="32"/>
          <w:szCs w:val="32"/>
        </w:rPr>
        <w:t>退休人员1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人，享受遗属费2人，</w:t>
      </w:r>
      <w:r>
        <w:rPr>
          <w:rFonts w:hint="eastAsia" w:ascii="仿宋_GB2312" w:hAnsi="仿宋_GB2312" w:eastAsia="仿宋_GB2312" w:cs="仿宋_GB2312"/>
          <w:sz w:val="32"/>
          <w:szCs w:val="32"/>
          <w:lang w:eastAsia="zh-CN"/>
        </w:rPr>
        <w:t>临时用工</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51名</w:t>
      </w:r>
      <w:r>
        <w:rPr>
          <w:rFonts w:hint="eastAsia" w:ascii="仿宋_GB2312" w:hAnsi="仿宋_GB2312" w:eastAsia="仿宋_GB2312" w:cs="仿宋_GB2312"/>
          <w:sz w:val="32"/>
          <w:szCs w:val="32"/>
        </w:rPr>
        <w:t>。</w:t>
      </w:r>
    </w:p>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锡林郭勒盟住房公积金中心</w:t>
      </w:r>
      <w:r>
        <w:rPr>
          <w:rFonts w:hint="eastAsia" w:ascii="仿宋_GB2312" w:hAnsi="仿宋_GB2312" w:eastAsia="仿宋_GB2312" w:cs="仿宋_GB2312"/>
          <w:sz w:val="28"/>
          <w:szCs w:val="28"/>
        </w:rPr>
        <w:t>单位设置及人员情况</w:t>
      </w:r>
    </w:p>
    <w:p>
      <w:pPr>
        <w:snapToGrid w:val="0"/>
        <w:spacing w:line="56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纳入202</w:t>
      </w:r>
      <w:r>
        <w:rPr>
          <w:rFonts w:hint="eastAsia" w:ascii="仿宋_GB2312" w:eastAsia="仿宋_GB2312"/>
          <w:sz w:val="32"/>
          <w:szCs w:val="32"/>
          <w:lang w:val="en-US" w:eastAsia="zh-CN"/>
        </w:rPr>
        <w:t>1</w:t>
      </w:r>
      <w:r>
        <w:rPr>
          <w:rFonts w:hint="eastAsia" w:ascii="仿宋_GB2312" w:eastAsia="仿宋_GB2312"/>
          <w:sz w:val="32"/>
          <w:szCs w:val="32"/>
        </w:rPr>
        <w:t>年部门预算编制范围的二级预算单位情况：</w:t>
      </w:r>
    </w:p>
    <w:p>
      <w:pPr>
        <w:snapToGrid w:val="0"/>
        <w:spacing w:line="560" w:lineRule="exact"/>
        <w:ind w:firstLine="640" w:firstLineChars="200"/>
        <w:jc w:val="center"/>
        <w:rPr>
          <w:rFonts w:hint="eastAsia" w:eastAsia="仿宋_GB2312"/>
          <w:b/>
          <w:sz w:val="32"/>
          <w:szCs w:val="32"/>
        </w:rPr>
      </w:pPr>
      <w:r>
        <w:rPr>
          <w:rFonts w:hint="eastAsia" w:ascii="仿宋_GB2312" w:eastAsia="仿宋_GB2312"/>
          <w:sz w:val="32"/>
          <w:szCs w:val="32"/>
        </w:rPr>
        <w:t xml:space="preserve"> </w:t>
      </w:r>
      <w:r>
        <w:rPr>
          <w:rFonts w:hint="eastAsia" w:eastAsia="仿宋_GB2312"/>
          <w:b/>
          <w:sz w:val="32"/>
          <w:szCs w:val="32"/>
        </w:rPr>
        <w:t>单位情况表</w:t>
      </w:r>
    </w:p>
    <w:tbl>
      <w:tblPr>
        <w:tblStyle w:val="3"/>
        <w:tblpPr w:leftFromText="180" w:rightFromText="180" w:vertAnchor="text" w:horzAnchor="page" w:tblpX="1692" w:tblpY="80"/>
        <w:tblOverlap w:val="never"/>
        <w:tblW w:w="8830" w:type="dxa"/>
        <w:tblInd w:w="0" w:type="dxa"/>
        <w:tblLayout w:type="fixed"/>
        <w:tblCellMar>
          <w:top w:w="0" w:type="dxa"/>
          <w:left w:w="108" w:type="dxa"/>
          <w:bottom w:w="0" w:type="dxa"/>
          <w:right w:w="108" w:type="dxa"/>
        </w:tblCellMar>
      </w:tblPr>
      <w:tblGrid>
        <w:gridCol w:w="1203"/>
        <w:gridCol w:w="4900"/>
        <w:gridCol w:w="2727"/>
      </w:tblGrid>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hAnsi="黑体" w:eastAsia="仿宋_GB2312" w:cs="宋体"/>
                <w:bCs/>
                <w:color w:val="000000"/>
                <w:kern w:val="0"/>
                <w:sz w:val="24"/>
                <w:szCs w:val="24"/>
              </w:rPr>
              <w:t>序号</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bCs/>
                <w:color w:val="000000"/>
                <w:kern w:val="0"/>
                <w:sz w:val="24"/>
                <w:szCs w:val="24"/>
              </w:rPr>
            </w:pPr>
            <w:r>
              <w:rPr>
                <w:rFonts w:hint="eastAsia" w:ascii="仿宋_GB2312" w:hAnsi="黑体" w:eastAsia="仿宋_GB2312" w:cs="宋体"/>
                <w:bCs/>
                <w:color w:val="000000"/>
                <w:kern w:val="0"/>
                <w:sz w:val="24"/>
                <w:szCs w:val="24"/>
              </w:rPr>
              <w:t>单位名称</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单位性质</w:t>
            </w:r>
          </w:p>
        </w:tc>
      </w:tr>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1</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Cs/>
                <w:color w:val="000000"/>
                <w:kern w:val="0"/>
                <w:sz w:val="24"/>
                <w:szCs w:val="24"/>
                <w:lang w:eastAsia="zh-CN"/>
              </w:rPr>
            </w:pPr>
            <w:r>
              <w:rPr>
                <w:rFonts w:hint="eastAsia" w:ascii="仿宋_GB2312" w:eastAsia="仿宋_GB2312"/>
                <w:bCs/>
                <w:color w:val="000000"/>
                <w:kern w:val="0"/>
                <w:sz w:val="24"/>
                <w:szCs w:val="24"/>
                <w:lang w:eastAsia="zh-CN"/>
              </w:rPr>
              <w:t>锡林郭勒盟住房公积金中心</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eastAsia="zh-CN"/>
              </w:rPr>
            </w:pPr>
            <w:r>
              <w:rPr>
                <w:rFonts w:hint="eastAsia" w:ascii="仿宋_GB2312" w:eastAsia="仿宋_GB2312"/>
                <w:color w:val="000000"/>
                <w:kern w:val="0"/>
                <w:sz w:val="24"/>
                <w:szCs w:val="24"/>
                <w:lang w:eastAsia="zh-CN"/>
              </w:rPr>
              <w:t>公益一类事业单位</w:t>
            </w:r>
          </w:p>
        </w:tc>
      </w:tr>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2</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eastAsia="仿宋_GB2312"/>
                <w:color w:val="000000"/>
                <w:kern w:val="0"/>
                <w:sz w:val="24"/>
                <w:szCs w:val="24"/>
                <w:lang w:eastAsia="zh-CN"/>
              </w:rPr>
            </w:pPr>
            <w:r>
              <w:rPr>
                <w:rFonts w:hint="eastAsia" w:ascii="仿宋_GB2312" w:eastAsia="仿宋_GB2312"/>
                <w:color w:val="000000"/>
                <w:kern w:val="0"/>
                <w:sz w:val="24"/>
                <w:szCs w:val="24"/>
                <w:lang w:eastAsia="zh-CN"/>
              </w:rPr>
              <w:t>盟住房公积金中心锡林浩特市服务部</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公益一类事业单位</w:t>
            </w:r>
          </w:p>
        </w:tc>
      </w:tr>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3</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eastAsia="仿宋_GB2312"/>
                <w:color w:val="000000"/>
                <w:kern w:val="0"/>
                <w:sz w:val="24"/>
                <w:szCs w:val="24"/>
                <w:lang w:eastAsia="zh-CN"/>
              </w:rPr>
            </w:pPr>
            <w:r>
              <w:rPr>
                <w:rFonts w:hint="eastAsia" w:ascii="仿宋_GB2312" w:eastAsia="仿宋_GB2312"/>
                <w:color w:val="000000"/>
                <w:kern w:val="0"/>
                <w:sz w:val="24"/>
                <w:szCs w:val="24"/>
                <w:lang w:eastAsia="zh-CN"/>
              </w:rPr>
              <w:t>阿巴嘎旗服务部</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公益一类事业单位</w:t>
            </w:r>
          </w:p>
        </w:tc>
      </w:tr>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4</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eastAsia="仿宋_GB2312"/>
                <w:color w:val="000000"/>
                <w:kern w:val="0"/>
                <w:sz w:val="24"/>
                <w:szCs w:val="24"/>
              </w:rPr>
            </w:pPr>
            <w:r>
              <w:rPr>
                <w:rFonts w:hint="eastAsia" w:ascii="仿宋_GB2312" w:hAnsi="仿宋_GB2312" w:eastAsia="仿宋_GB2312" w:cs="仿宋_GB2312"/>
                <w:sz w:val="24"/>
                <w:szCs w:val="24"/>
              </w:rPr>
              <w:t>苏尼特左旗</w:t>
            </w:r>
            <w:r>
              <w:rPr>
                <w:rFonts w:hint="eastAsia" w:ascii="仿宋_GB2312" w:hAnsi="仿宋_GB2312" w:eastAsia="仿宋_GB2312" w:cs="仿宋_GB2312"/>
                <w:sz w:val="24"/>
                <w:szCs w:val="24"/>
                <w:lang w:eastAsia="zh-CN"/>
              </w:rPr>
              <w:t>服务部</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公益一类事业单位</w:t>
            </w:r>
          </w:p>
        </w:tc>
      </w:tr>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5</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eastAsia="仿宋_GB2312"/>
                <w:color w:val="000000"/>
                <w:kern w:val="0"/>
                <w:sz w:val="24"/>
                <w:szCs w:val="24"/>
              </w:rPr>
            </w:pPr>
            <w:r>
              <w:rPr>
                <w:rFonts w:hint="eastAsia" w:ascii="仿宋_GB2312" w:hAnsi="仿宋_GB2312" w:eastAsia="仿宋_GB2312" w:cs="仿宋_GB2312"/>
                <w:sz w:val="24"/>
                <w:szCs w:val="24"/>
              </w:rPr>
              <w:t>苏尼特右旗</w:t>
            </w:r>
            <w:r>
              <w:rPr>
                <w:rFonts w:hint="eastAsia" w:ascii="仿宋_GB2312" w:hAnsi="仿宋_GB2312" w:eastAsia="仿宋_GB2312" w:cs="仿宋_GB2312"/>
                <w:sz w:val="24"/>
                <w:szCs w:val="24"/>
                <w:lang w:eastAsia="zh-CN"/>
              </w:rPr>
              <w:t>服务部</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公益一类事业单位</w:t>
            </w:r>
          </w:p>
        </w:tc>
      </w:tr>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6</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eastAsia="仿宋_GB2312"/>
                <w:color w:val="000000"/>
                <w:kern w:val="0"/>
                <w:sz w:val="24"/>
                <w:szCs w:val="24"/>
              </w:rPr>
            </w:pPr>
            <w:r>
              <w:rPr>
                <w:rFonts w:hint="eastAsia" w:ascii="仿宋_GB2312" w:hAnsi="仿宋_GB2312" w:eastAsia="仿宋_GB2312" w:cs="仿宋_GB2312"/>
                <w:sz w:val="24"/>
                <w:szCs w:val="24"/>
              </w:rPr>
              <w:t>东乌珠穆沁旗</w:t>
            </w:r>
            <w:r>
              <w:rPr>
                <w:rFonts w:hint="eastAsia" w:ascii="仿宋_GB2312" w:hAnsi="仿宋_GB2312" w:eastAsia="仿宋_GB2312" w:cs="仿宋_GB2312"/>
                <w:sz w:val="24"/>
                <w:szCs w:val="24"/>
                <w:lang w:eastAsia="zh-CN"/>
              </w:rPr>
              <w:t>服务部</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公益一类事业单位</w:t>
            </w:r>
          </w:p>
        </w:tc>
      </w:tr>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7</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西乌珠穆沁旗</w:t>
            </w:r>
            <w:r>
              <w:rPr>
                <w:rFonts w:hint="eastAsia" w:ascii="仿宋_GB2312" w:hAnsi="仿宋_GB2312" w:eastAsia="仿宋_GB2312" w:cs="仿宋_GB2312"/>
                <w:sz w:val="24"/>
                <w:szCs w:val="24"/>
                <w:lang w:eastAsia="zh-CN"/>
              </w:rPr>
              <w:t>服务部</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公益一类事业单位</w:t>
            </w:r>
          </w:p>
        </w:tc>
      </w:tr>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8</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太仆寺旗服务部</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公益一类事业单位</w:t>
            </w:r>
          </w:p>
        </w:tc>
      </w:tr>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9</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镶</w:t>
            </w:r>
            <w:r>
              <w:rPr>
                <w:rFonts w:hint="eastAsia" w:ascii="仿宋_GB2312" w:hAnsi="仿宋_GB2312" w:eastAsia="仿宋_GB2312" w:cs="仿宋_GB2312"/>
                <w:sz w:val="24"/>
                <w:szCs w:val="24"/>
                <w:lang w:eastAsia="zh-CN"/>
              </w:rPr>
              <w:t>黄旗服务部</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公益一类事业单位</w:t>
            </w:r>
          </w:p>
        </w:tc>
      </w:tr>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10</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正镶白旗服务部</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公益一类事业单位</w:t>
            </w:r>
          </w:p>
        </w:tc>
      </w:tr>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11</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正蓝旗服务部</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公益一类事业单位</w:t>
            </w:r>
          </w:p>
        </w:tc>
      </w:tr>
      <w:tr>
        <w:tblPrEx>
          <w:tblLayout w:type="fixed"/>
          <w:tblCellMar>
            <w:top w:w="0" w:type="dxa"/>
            <w:left w:w="108" w:type="dxa"/>
            <w:bottom w:w="0" w:type="dxa"/>
            <w:right w:w="108" w:type="dxa"/>
          </w:tblCellMar>
        </w:tblPrEx>
        <w:trPr>
          <w:trHeight w:val="39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12</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多伦县服务部</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公益一类事业单位</w:t>
            </w:r>
          </w:p>
        </w:tc>
      </w:tr>
      <w:tr>
        <w:tblPrEx>
          <w:tblLayout w:type="fixed"/>
          <w:tblCellMar>
            <w:top w:w="0" w:type="dxa"/>
            <w:left w:w="108" w:type="dxa"/>
            <w:bottom w:w="0" w:type="dxa"/>
            <w:right w:w="108" w:type="dxa"/>
          </w:tblCellMar>
        </w:tblPrEx>
        <w:trPr>
          <w:trHeight w:val="547" w:hRule="atLeast"/>
        </w:trPr>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lang w:val="en-US" w:eastAsia="zh-CN"/>
              </w:rPr>
            </w:pPr>
            <w:r>
              <w:rPr>
                <w:rFonts w:hint="eastAsia" w:ascii="仿宋_GB2312" w:eastAsia="仿宋_GB2312"/>
                <w:color w:val="000000"/>
                <w:kern w:val="0"/>
                <w:sz w:val="24"/>
                <w:szCs w:val="24"/>
                <w:lang w:val="en-US" w:eastAsia="zh-CN"/>
              </w:rPr>
              <w:t>13</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乌拉盖管理</w:t>
            </w:r>
            <w:r>
              <w:rPr>
                <w:rFonts w:hint="eastAsia" w:ascii="仿宋_GB2312" w:hAnsi="仿宋_GB2312" w:eastAsia="仿宋_GB2312" w:cs="仿宋_GB2312"/>
                <w:sz w:val="24"/>
                <w:szCs w:val="24"/>
                <w:lang w:eastAsia="zh-CN"/>
              </w:rPr>
              <w:t>区服务部</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公益一类事业单位</w:t>
            </w:r>
          </w:p>
        </w:tc>
      </w:tr>
    </w:tbl>
    <w:p>
      <w:pPr>
        <w:adjustRightInd w:val="0"/>
        <w:snapToGrid w:val="0"/>
        <w:spacing w:line="560" w:lineRule="exact"/>
        <w:rPr>
          <w:rFonts w:hint="eastAsia" w:ascii="楷体_GB2312" w:eastAsia="楷体_GB2312"/>
          <w:b/>
          <w:sz w:val="36"/>
          <w:szCs w:val="36"/>
          <w:lang w:val="en-US" w:eastAsia="zh-CN"/>
        </w:rPr>
      </w:pPr>
    </w:p>
    <w:p>
      <w:pPr>
        <w:adjustRightInd w:val="0"/>
        <w:snapToGrid w:val="0"/>
        <w:spacing w:line="560" w:lineRule="exact"/>
        <w:rPr>
          <w:rFonts w:hint="eastAsia" w:ascii="楷体_GB2312" w:eastAsia="楷体_GB2312"/>
          <w:b/>
          <w:sz w:val="36"/>
          <w:szCs w:val="36"/>
        </w:rPr>
      </w:pPr>
      <w:r>
        <w:rPr>
          <w:rFonts w:hint="eastAsia" w:ascii="楷体_GB2312" w:eastAsia="楷体_GB2312"/>
          <w:b/>
          <w:sz w:val="36"/>
          <w:szCs w:val="36"/>
          <w:lang w:val="en-US" w:eastAsia="zh-CN"/>
        </w:rPr>
        <w:t xml:space="preserve"> </w:t>
      </w:r>
      <w:r>
        <w:rPr>
          <w:rFonts w:hint="eastAsia" w:ascii="楷体_GB2312" w:eastAsia="楷体_GB2312"/>
          <w:b/>
          <w:sz w:val="36"/>
          <w:szCs w:val="36"/>
        </w:rPr>
        <w:t>第二部分 202</w:t>
      </w:r>
      <w:r>
        <w:rPr>
          <w:rFonts w:hint="eastAsia" w:ascii="楷体_GB2312" w:eastAsia="楷体_GB2312"/>
          <w:b/>
          <w:sz w:val="36"/>
          <w:szCs w:val="36"/>
          <w:lang w:val="en-US" w:eastAsia="zh-CN"/>
        </w:rPr>
        <w:t>1年</w:t>
      </w:r>
      <w:r>
        <w:rPr>
          <w:rFonts w:hint="eastAsia" w:ascii="楷体_GB2312" w:eastAsia="楷体_GB2312"/>
          <w:b/>
          <w:sz w:val="36"/>
          <w:szCs w:val="36"/>
        </w:rPr>
        <w:t>部门</w:t>
      </w:r>
      <w:r>
        <w:rPr>
          <w:rFonts w:hint="eastAsia" w:ascii="楷体_GB2312" w:eastAsia="楷体_GB2312"/>
          <w:b/>
          <w:sz w:val="36"/>
          <w:szCs w:val="36"/>
          <w:lang w:eastAsia="zh-CN"/>
        </w:rPr>
        <w:t>所属单位</w:t>
      </w:r>
      <w:r>
        <w:rPr>
          <w:rFonts w:hint="eastAsia" w:ascii="楷体_GB2312" w:eastAsia="楷体_GB2312"/>
          <w:b/>
          <w:sz w:val="36"/>
          <w:szCs w:val="36"/>
        </w:rPr>
        <w:t>预算安排情况说明</w:t>
      </w:r>
    </w:p>
    <w:p>
      <w:pPr>
        <w:spacing w:line="560" w:lineRule="exact"/>
        <w:ind w:firstLine="640" w:firstLineChars="200"/>
        <w:rPr>
          <w:rFonts w:hint="eastAsia" w:ascii="黑体" w:eastAsia="黑体"/>
          <w:sz w:val="36"/>
          <w:szCs w:val="36"/>
        </w:rPr>
      </w:pPr>
      <w:r>
        <w:rPr>
          <w:rFonts w:hint="eastAsia" w:ascii="黑体" w:hAnsi="黑体" w:eastAsia="黑体"/>
          <w:color w:val="000000"/>
          <w:sz w:val="32"/>
          <w:szCs w:val="32"/>
        </w:rPr>
        <w:t>一、部门预算收支总体情况说明</w:t>
      </w:r>
    </w:p>
    <w:p>
      <w:pPr>
        <w:adjustRightInd w:val="0"/>
        <w:snapToGrid w:val="0"/>
        <w:spacing w:line="56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本年预算收入2650万元，</w:t>
      </w:r>
      <w:r>
        <w:rPr>
          <w:rFonts w:hint="eastAsia" w:ascii="仿宋_GB2312" w:eastAsia="仿宋_GB2312"/>
          <w:sz w:val="32"/>
          <w:szCs w:val="32"/>
        </w:rPr>
        <w:t>比20</w:t>
      </w:r>
      <w:r>
        <w:rPr>
          <w:rFonts w:hint="eastAsia" w:ascii="仿宋_GB2312" w:eastAsia="仿宋_GB2312"/>
          <w:sz w:val="32"/>
          <w:szCs w:val="32"/>
          <w:lang w:val="en-US" w:eastAsia="zh-CN"/>
        </w:rPr>
        <w:t>20</w:t>
      </w:r>
      <w:r>
        <w:rPr>
          <w:rFonts w:hint="eastAsia" w:ascii="仿宋_GB2312" w:eastAsia="仿宋_GB2312"/>
          <w:sz w:val="32"/>
          <w:szCs w:val="32"/>
        </w:rPr>
        <w:t>年预算</w:t>
      </w:r>
      <w:r>
        <w:rPr>
          <w:rFonts w:hint="eastAsia" w:ascii="仿宋_GB2312" w:eastAsia="仿宋_GB2312"/>
          <w:sz w:val="32"/>
          <w:szCs w:val="32"/>
          <w:lang w:val="en-US" w:eastAsia="zh-CN"/>
        </w:rPr>
        <w:t>2852.96</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202.96万元，减少7.1</w:t>
      </w:r>
      <w:r>
        <w:rPr>
          <w:rFonts w:hint="eastAsia" w:ascii="仿宋_GB2312" w:eastAsia="仿宋_GB2312"/>
          <w:sz w:val="32"/>
          <w:szCs w:val="32"/>
        </w:rPr>
        <w:t>%，</w:t>
      </w:r>
      <w:r>
        <w:rPr>
          <w:rFonts w:hint="eastAsia" w:ascii="仿宋_GB2312" w:eastAsia="仿宋_GB2312"/>
          <w:sz w:val="32"/>
          <w:szCs w:val="32"/>
          <w:lang w:eastAsia="zh-CN"/>
        </w:rPr>
        <w:t>减少的</w:t>
      </w:r>
      <w:r>
        <w:rPr>
          <w:rFonts w:hint="eastAsia" w:ascii="仿宋_GB2312" w:eastAsia="仿宋_GB2312"/>
          <w:sz w:val="32"/>
          <w:szCs w:val="32"/>
        </w:rPr>
        <w:t>主</w:t>
      </w:r>
      <w:r>
        <w:rPr>
          <w:rFonts w:hint="eastAsia" w:ascii="仿宋_GB2312" w:eastAsia="仿宋_GB2312"/>
          <w:sz w:val="32"/>
          <w:szCs w:val="32"/>
          <w:lang w:eastAsia="zh-CN"/>
        </w:rPr>
        <w:t>要原因一是</w:t>
      </w:r>
      <w:r>
        <w:rPr>
          <w:rFonts w:hint="eastAsia" w:ascii="仿宋_GB2312" w:eastAsia="仿宋_GB2312"/>
          <w:sz w:val="32"/>
          <w:szCs w:val="32"/>
          <w:lang w:val="en-US" w:eastAsia="zh-CN"/>
        </w:rPr>
        <w:t>2020年退休2人，调出1人，相应工资及“五险一金”减少17.08万元；二是项目资金比2020年减少169.4万元。</w:t>
      </w:r>
    </w:p>
    <w:p>
      <w:pPr>
        <w:adjustRightInd w:val="0"/>
        <w:snapToGrid w:val="0"/>
        <w:spacing w:line="560" w:lineRule="exact"/>
        <w:ind w:firstLine="640"/>
        <w:rPr>
          <w:rFonts w:hint="eastAsia" w:ascii="仿宋_GB2312" w:eastAsia="仿宋_GB2312"/>
          <w:sz w:val="32"/>
          <w:szCs w:val="32"/>
          <w:lang w:val="en-US" w:eastAsia="zh-CN"/>
        </w:rPr>
      </w:pPr>
      <w:r>
        <w:rPr>
          <w:rFonts w:hint="eastAsia" w:ascii="仿宋_GB2312" w:eastAsia="仿宋_GB2312"/>
          <w:sz w:val="32"/>
          <w:szCs w:val="32"/>
        </w:rPr>
        <w:t>支出预算</w:t>
      </w:r>
      <w:r>
        <w:rPr>
          <w:rFonts w:hint="eastAsia" w:ascii="仿宋_GB2312" w:eastAsia="仿宋_GB2312"/>
          <w:sz w:val="32"/>
          <w:szCs w:val="32"/>
          <w:lang w:val="en-US" w:eastAsia="zh-CN"/>
        </w:rPr>
        <w:t>2650</w:t>
      </w:r>
      <w:r>
        <w:rPr>
          <w:rFonts w:hint="eastAsia" w:ascii="仿宋_GB2312" w:eastAsia="仿宋_GB2312"/>
          <w:sz w:val="32"/>
          <w:szCs w:val="32"/>
        </w:rPr>
        <w:t>万元，比20</w:t>
      </w:r>
      <w:r>
        <w:rPr>
          <w:rFonts w:hint="eastAsia" w:ascii="仿宋_GB2312" w:eastAsia="仿宋_GB2312"/>
          <w:sz w:val="32"/>
          <w:szCs w:val="32"/>
          <w:lang w:val="en-US" w:eastAsia="zh-CN"/>
        </w:rPr>
        <w:t>20</w:t>
      </w:r>
      <w:r>
        <w:rPr>
          <w:rFonts w:hint="eastAsia" w:ascii="仿宋_GB2312" w:eastAsia="仿宋_GB2312"/>
          <w:sz w:val="32"/>
          <w:szCs w:val="32"/>
        </w:rPr>
        <w:t>年预算</w:t>
      </w:r>
      <w:r>
        <w:rPr>
          <w:rFonts w:hint="eastAsia" w:ascii="仿宋_GB2312" w:eastAsia="仿宋_GB2312"/>
          <w:sz w:val="32"/>
          <w:szCs w:val="32"/>
          <w:lang w:val="en-US" w:eastAsia="zh-CN"/>
        </w:rPr>
        <w:t>2852.96万元减少202.96</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7.1</w:t>
      </w:r>
      <w:r>
        <w:rPr>
          <w:rFonts w:hint="eastAsia" w:ascii="仿宋_GB2312" w:eastAsia="仿宋_GB2312"/>
          <w:sz w:val="32"/>
          <w:szCs w:val="32"/>
        </w:rPr>
        <w:t>%，</w:t>
      </w:r>
      <w:r>
        <w:rPr>
          <w:rFonts w:hint="eastAsia" w:ascii="仿宋_GB2312" w:eastAsia="仿宋_GB2312"/>
          <w:sz w:val="32"/>
          <w:szCs w:val="32"/>
          <w:lang w:eastAsia="zh-CN"/>
        </w:rPr>
        <w:t>减少的</w:t>
      </w:r>
      <w:r>
        <w:rPr>
          <w:rFonts w:hint="eastAsia" w:ascii="仿宋_GB2312" w:eastAsia="仿宋_GB2312"/>
          <w:sz w:val="32"/>
          <w:szCs w:val="32"/>
        </w:rPr>
        <w:t>主</w:t>
      </w:r>
      <w:r>
        <w:rPr>
          <w:rFonts w:hint="eastAsia" w:ascii="仿宋_GB2312" w:eastAsia="仿宋_GB2312"/>
          <w:sz w:val="32"/>
          <w:szCs w:val="32"/>
          <w:lang w:eastAsia="zh-CN"/>
        </w:rPr>
        <w:t>要原因一是</w:t>
      </w:r>
      <w:r>
        <w:rPr>
          <w:rFonts w:hint="eastAsia" w:ascii="仿宋_GB2312" w:eastAsia="仿宋_GB2312"/>
          <w:sz w:val="32"/>
          <w:szCs w:val="32"/>
          <w:lang w:val="en-US" w:eastAsia="zh-CN"/>
        </w:rPr>
        <w:t>2020年退休2人，调出1人，相应工资及“五险一金”减少17.08万元；二是项目资金比2020年减少169.4万元。</w:t>
      </w:r>
    </w:p>
    <w:p>
      <w:pPr>
        <w:adjustRightInd w:val="0"/>
        <w:snapToGrid w:val="0"/>
        <w:spacing w:line="560" w:lineRule="exact"/>
        <w:rPr>
          <w:rFonts w:hint="eastAsia" w:ascii="黑体" w:hAnsi="黑体" w:eastAsia="黑体"/>
          <w:color w:val="000000"/>
          <w:sz w:val="32"/>
          <w:szCs w:val="32"/>
        </w:rPr>
      </w:pPr>
      <w:r>
        <w:rPr>
          <w:rFonts w:hint="eastAsia" w:ascii="楷体_GB2312" w:hAnsi="黑体" w:eastAsia="楷体_GB2312"/>
          <w:sz w:val="32"/>
          <w:szCs w:val="32"/>
          <w:lang w:val="en-US" w:eastAsia="zh-CN"/>
        </w:rPr>
        <w:t xml:space="preserve">   </w:t>
      </w:r>
      <w:r>
        <w:rPr>
          <w:rFonts w:hint="eastAsia" w:ascii="楷体_GB2312" w:hAnsi="黑体" w:eastAsia="楷体_GB2312"/>
          <w:sz w:val="32"/>
          <w:szCs w:val="32"/>
        </w:rPr>
        <w:t>（一）部门预算收入情况说明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部门预算收入</w:t>
      </w:r>
      <w:r>
        <w:rPr>
          <w:rFonts w:hint="eastAsia" w:ascii="仿宋_GB2312" w:eastAsia="仿宋_GB2312"/>
          <w:sz w:val="32"/>
          <w:szCs w:val="32"/>
          <w:lang w:val="en-US" w:eastAsia="zh-CN"/>
        </w:rPr>
        <w:t>2650</w:t>
      </w:r>
      <w:r>
        <w:rPr>
          <w:rFonts w:hint="eastAsia" w:ascii="仿宋_GB2312" w:eastAsia="仿宋_GB2312"/>
          <w:sz w:val="32"/>
          <w:szCs w:val="32"/>
        </w:rPr>
        <w:t>万元，其中：一般公共预算拨款收</w:t>
      </w:r>
      <w:r>
        <w:rPr>
          <w:rFonts w:hint="eastAsia" w:ascii="仿宋_GB2312" w:eastAsia="仿宋_GB2312"/>
          <w:sz w:val="32"/>
          <w:szCs w:val="32"/>
          <w:lang w:eastAsia="zh-CN"/>
        </w:rPr>
        <w:t>入</w:t>
      </w:r>
      <w:r>
        <w:rPr>
          <w:rFonts w:hint="eastAsia" w:ascii="仿宋_GB2312" w:eastAsia="仿宋_GB2312"/>
          <w:sz w:val="32"/>
          <w:szCs w:val="32"/>
          <w:lang w:val="en-US" w:eastAsia="zh-CN"/>
        </w:rPr>
        <w:t>2650</w:t>
      </w:r>
      <w:r>
        <w:rPr>
          <w:rFonts w:hint="eastAsia" w:ascii="仿宋_GB2312" w:eastAsia="仿宋_GB2312"/>
          <w:sz w:val="32"/>
          <w:szCs w:val="32"/>
        </w:rPr>
        <w:t>万元，占比</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pPr>
        <w:adjustRightInd w:val="0"/>
        <w:snapToGrid w:val="0"/>
        <w:spacing w:line="560" w:lineRule="exact"/>
        <w:ind w:firstLine="640" w:firstLineChars="200"/>
        <w:rPr>
          <w:rFonts w:hint="eastAsia" w:ascii="黑体" w:hAnsi="黑体" w:eastAsia="黑体"/>
          <w:color w:val="000000"/>
          <w:sz w:val="32"/>
          <w:szCs w:val="32"/>
        </w:rPr>
      </w:pPr>
      <w:r>
        <w:rPr>
          <w:rFonts w:hint="eastAsia" w:ascii="楷体_GB2312" w:hAnsi="黑体" w:eastAsia="楷体_GB2312"/>
          <w:sz w:val="32"/>
          <w:szCs w:val="32"/>
        </w:rPr>
        <w:t>（二）部门预算支出情况说明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部门预算支出</w:t>
      </w:r>
      <w:r>
        <w:rPr>
          <w:rFonts w:hint="eastAsia" w:ascii="仿宋_GB2312" w:eastAsia="仿宋_GB2312"/>
          <w:sz w:val="32"/>
          <w:szCs w:val="32"/>
          <w:lang w:val="en-US" w:eastAsia="zh-CN"/>
        </w:rPr>
        <w:t>2650</w:t>
      </w:r>
      <w:r>
        <w:rPr>
          <w:rFonts w:hint="eastAsia" w:ascii="仿宋_GB2312" w:eastAsia="仿宋_GB2312"/>
          <w:sz w:val="32"/>
          <w:szCs w:val="32"/>
        </w:rPr>
        <w:t>万元，其中：基本支出</w:t>
      </w:r>
      <w:r>
        <w:rPr>
          <w:rFonts w:hint="eastAsia" w:ascii="仿宋_GB2312" w:eastAsia="仿宋_GB2312"/>
          <w:sz w:val="32"/>
          <w:szCs w:val="32"/>
          <w:lang w:val="en-US" w:eastAsia="zh-CN"/>
        </w:rPr>
        <w:t>1335.5</w:t>
      </w:r>
      <w:r>
        <w:rPr>
          <w:rFonts w:hint="eastAsia" w:ascii="仿宋_GB2312" w:eastAsia="仿宋_GB2312"/>
          <w:sz w:val="32"/>
          <w:szCs w:val="32"/>
        </w:rPr>
        <w:t>万元，占比</w:t>
      </w:r>
      <w:r>
        <w:rPr>
          <w:rFonts w:hint="eastAsia" w:ascii="仿宋_GB2312" w:eastAsia="仿宋_GB2312"/>
          <w:sz w:val="32"/>
          <w:szCs w:val="32"/>
          <w:lang w:val="en-US" w:eastAsia="zh-CN"/>
        </w:rPr>
        <w:t>50.4</w:t>
      </w:r>
      <w:r>
        <w:rPr>
          <w:rFonts w:hint="eastAsia" w:ascii="仿宋_GB2312" w:eastAsia="仿宋_GB2312"/>
          <w:sz w:val="32"/>
          <w:szCs w:val="32"/>
        </w:rPr>
        <w:t>%；项目支出</w:t>
      </w:r>
      <w:r>
        <w:rPr>
          <w:rFonts w:hint="eastAsia" w:ascii="仿宋_GB2312" w:eastAsia="仿宋_GB2312"/>
          <w:sz w:val="32"/>
          <w:szCs w:val="32"/>
          <w:lang w:val="en-US" w:eastAsia="zh-CN"/>
        </w:rPr>
        <w:t>1314.5</w:t>
      </w:r>
      <w:r>
        <w:rPr>
          <w:rFonts w:hint="eastAsia" w:ascii="仿宋_GB2312" w:eastAsia="仿宋_GB2312"/>
          <w:sz w:val="32"/>
          <w:szCs w:val="32"/>
        </w:rPr>
        <w:t>万元，占比</w:t>
      </w:r>
      <w:r>
        <w:rPr>
          <w:rFonts w:hint="eastAsia" w:ascii="仿宋_GB2312" w:eastAsia="仿宋_GB2312"/>
          <w:sz w:val="32"/>
          <w:szCs w:val="32"/>
          <w:lang w:val="en-US" w:eastAsia="zh-CN"/>
        </w:rPr>
        <w:t>49.6</w:t>
      </w:r>
      <w:r>
        <w:rPr>
          <w:rFonts w:hint="eastAsia" w:ascii="仿宋_GB2312" w:eastAsia="仿宋_GB2312"/>
          <w:sz w:val="32"/>
          <w:szCs w:val="32"/>
        </w:rPr>
        <w:t>%</w:t>
      </w:r>
      <w:r>
        <w:rPr>
          <w:rFonts w:hint="eastAsia" w:ascii="仿宋_GB2312" w:eastAsia="仿宋_GB2312"/>
          <w:sz w:val="32"/>
          <w:szCs w:val="32"/>
          <w:lang w:eastAsia="zh-CN"/>
        </w:rPr>
        <w:t>。</w:t>
      </w:r>
    </w:p>
    <w:p>
      <w:pPr>
        <w:adjustRightInd w:val="0"/>
        <w:snapToGrid w:val="0"/>
        <w:spacing w:line="560" w:lineRule="exact"/>
        <w:ind w:firstLine="640"/>
        <w:rPr>
          <w:rFonts w:hint="eastAsia" w:ascii="仿宋_GB2312" w:hAnsi="黑体" w:eastAsia="仿宋_GB2312"/>
          <w:color w:val="000000"/>
          <w:sz w:val="32"/>
          <w:szCs w:val="32"/>
        </w:rPr>
      </w:pPr>
      <w:r>
        <w:rPr>
          <w:rFonts w:hint="eastAsia" w:ascii="仿宋_GB2312" w:eastAsia="仿宋_GB2312"/>
          <w:sz w:val="32"/>
          <w:szCs w:val="32"/>
        </w:rPr>
        <w:t>主要用于“机构运转、专业活动”方面支出</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60" w:lineRule="exact"/>
        <w:rPr>
          <w:rFonts w:hint="eastAsia" w:ascii="楷体_GB2312" w:eastAsia="楷体_GB2312"/>
          <w:sz w:val="36"/>
          <w:szCs w:val="36"/>
        </w:rPr>
      </w:pPr>
      <w:r>
        <w:rPr>
          <w:rFonts w:hint="eastAsia" w:ascii="楷体_GB2312" w:eastAsia="楷体_GB2312"/>
          <w:sz w:val="32"/>
          <w:szCs w:val="32"/>
          <w:lang w:val="en-US" w:eastAsia="zh-CN"/>
        </w:rPr>
        <w:t xml:space="preserve">  </w:t>
      </w:r>
      <w:r>
        <w:rPr>
          <w:rFonts w:hint="eastAsia" w:ascii="楷体_GB2312" w:eastAsia="楷体_GB2312"/>
          <w:sz w:val="32"/>
          <w:szCs w:val="32"/>
        </w:rPr>
        <w:t>（一）财政拨款规模情况</w:t>
      </w:r>
    </w:p>
    <w:p>
      <w:pPr>
        <w:adjustRightInd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财政拨款收支预算</w:t>
      </w:r>
      <w:r>
        <w:rPr>
          <w:rFonts w:hint="eastAsia" w:ascii="仿宋_GB2312" w:eastAsia="仿宋_GB2312"/>
          <w:sz w:val="32"/>
          <w:szCs w:val="32"/>
          <w:lang w:val="en-US" w:eastAsia="zh-CN"/>
        </w:rPr>
        <w:t>2650</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2650</w:t>
      </w:r>
      <w:r>
        <w:rPr>
          <w:rFonts w:hint="eastAsia" w:ascii="仿宋_GB2312" w:eastAsia="仿宋_GB2312"/>
          <w:sz w:val="32"/>
          <w:szCs w:val="32"/>
        </w:rPr>
        <w:t>万元，</w:t>
      </w:r>
      <w:r>
        <w:rPr>
          <w:rFonts w:hint="eastAsia" w:ascii="仿宋_GB2312" w:eastAsia="仿宋_GB2312"/>
          <w:sz w:val="32"/>
          <w:szCs w:val="32"/>
          <w:lang w:eastAsia="zh-CN"/>
        </w:rPr>
        <w:t>政府性基金预算财政拨款</w:t>
      </w:r>
      <w:r>
        <w:rPr>
          <w:rFonts w:hint="eastAsia" w:ascii="仿宋_GB2312" w:eastAsia="仿宋_GB2312"/>
          <w:sz w:val="32"/>
          <w:szCs w:val="32"/>
          <w:lang w:val="en-US" w:eastAsia="zh-CN"/>
        </w:rPr>
        <w:t>0万元。</w:t>
      </w:r>
    </w:p>
    <w:p>
      <w:pPr>
        <w:numPr>
          <w:ilvl w:val="0"/>
          <w:numId w:val="0"/>
        </w:numPr>
        <w:spacing w:line="560" w:lineRule="exact"/>
        <w:rPr>
          <w:rFonts w:hint="eastAsia"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numPr>
          <w:ilvl w:val="0"/>
          <w:numId w:val="0"/>
        </w:numPr>
        <w:spacing w:line="560" w:lineRule="exact"/>
        <w:rPr>
          <w:rFonts w:hint="eastAsia" w:eastAsia="仿宋_GB2312"/>
          <w:b/>
          <w:sz w:val="32"/>
          <w:szCs w:val="32"/>
        </w:rPr>
      </w:pPr>
      <w:r>
        <w:rPr>
          <w:rFonts w:hint="eastAsia" w:ascii="楷体_GB2312" w:eastAsia="楷体_GB2312"/>
          <w:sz w:val="32"/>
          <w:szCs w:val="32"/>
          <w:lang w:val="en-US" w:eastAsia="zh-CN"/>
        </w:rPr>
        <w:t xml:space="preserve">    </w:t>
      </w:r>
      <w:r>
        <w:rPr>
          <w:rFonts w:hint="eastAsia" w:ascii="仿宋_GB2312" w:eastAsia="仿宋_GB2312"/>
          <w:b/>
          <w:sz w:val="32"/>
          <w:szCs w:val="32"/>
        </w:rPr>
        <w:t>1.</w:t>
      </w:r>
      <w:r>
        <w:rPr>
          <w:rFonts w:hint="eastAsia" w:eastAsia="仿宋_GB2312"/>
          <w:b/>
          <w:bCs/>
          <w:sz w:val="32"/>
          <w:szCs w:val="32"/>
          <w:lang w:val="en-US" w:eastAsia="zh-CN"/>
        </w:rPr>
        <w:t>住房公积金管理支出2650</w:t>
      </w:r>
      <w:r>
        <w:rPr>
          <w:rFonts w:hint="eastAsia" w:eastAsia="仿宋_GB2312"/>
          <w:sz w:val="32"/>
          <w:szCs w:val="32"/>
          <w:lang w:val="en-US" w:eastAsia="zh-CN"/>
        </w:rPr>
        <w:t>万元，其中：人员经费1242.91万元，比上年预算数减少</w:t>
      </w:r>
      <w:r>
        <w:rPr>
          <w:rFonts w:hint="eastAsia" w:ascii="仿宋_GB2312" w:hAnsi="仿宋_GB2312" w:eastAsia="仿宋_GB2312" w:cs="仿宋_GB2312"/>
          <w:sz w:val="32"/>
          <w:szCs w:val="32"/>
          <w:lang w:val="en-US" w:eastAsia="zh-CN"/>
        </w:rPr>
        <w:t>17.08</w:t>
      </w:r>
      <w:r>
        <w:rPr>
          <w:rFonts w:hint="eastAsia" w:eastAsia="仿宋_GB2312"/>
          <w:sz w:val="32"/>
          <w:szCs w:val="32"/>
          <w:lang w:val="en-US" w:eastAsia="zh-CN"/>
        </w:rPr>
        <w:t>万元，主要原因是</w:t>
      </w:r>
      <w:r>
        <w:rPr>
          <w:rFonts w:hint="eastAsia" w:ascii="仿宋_GB2312" w:eastAsia="仿宋_GB2312"/>
          <w:sz w:val="32"/>
          <w:szCs w:val="32"/>
          <w:lang w:val="en-US" w:eastAsia="zh-CN"/>
        </w:rPr>
        <w:t>2020年退休2人，调出1人，相应工资及“五险一金”减少17.08万元；</w:t>
      </w:r>
      <w:r>
        <w:rPr>
          <w:rFonts w:hint="eastAsia" w:eastAsia="仿宋_GB2312"/>
          <w:sz w:val="32"/>
          <w:szCs w:val="32"/>
          <w:lang w:eastAsia="zh-CN"/>
        </w:rPr>
        <w:t>公用经费</w:t>
      </w:r>
      <w:r>
        <w:rPr>
          <w:rFonts w:hint="eastAsia" w:eastAsia="仿宋_GB2312"/>
          <w:sz w:val="32"/>
          <w:szCs w:val="32"/>
          <w:lang w:val="en-US" w:eastAsia="zh-CN"/>
        </w:rPr>
        <w:t>92.59万元，比上年预算数减少</w:t>
      </w:r>
      <w:r>
        <w:rPr>
          <w:rFonts w:hint="eastAsia" w:ascii="仿宋_GB2312" w:hAnsi="仿宋_GB2312" w:eastAsia="仿宋_GB2312" w:cs="仿宋_GB2312"/>
          <w:sz w:val="32"/>
          <w:szCs w:val="32"/>
          <w:lang w:val="en-US" w:eastAsia="zh-CN"/>
        </w:rPr>
        <w:t>16.48</w:t>
      </w:r>
      <w:r>
        <w:rPr>
          <w:rFonts w:hint="eastAsia" w:eastAsia="仿宋_GB2312"/>
          <w:sz w:val="32"/>
          <w:szCs w:val="32"/>
          <w:lang w:val="en-US" w:eastAsia="zh-CN"/>
        </w:rPr>
        <w:t>万元，主要原因是</w:t>
      </w:r>
      <w:r>
        <w:rPr>
          <w:rFonts w:hint="eastAsia" w:ascii="仿宋_GB2312" w:hAnsi="仿宋_GB2312" w:eastAsia="仿宋_GB2312" w:cs="仿宋_GB2312"/>
          <w:sz w:val="32"/>
          <w:szCs w:val="32"/>
          <w:lang w:val="en-US" w:eastAsia="zh-CN"/>
        </w:rPr>
        <w:t>2021</w:t>
      </w:r>
      <w:r>
        <w:rPr>
          <w:rFonts w:hint="eastAsia" w:eastAsia="仿宋_GB2312"/>
          <w:sz w:val="32"/>
          <w:szCs w:val="32"/>
          <w:lang w:val="en-US" w:eastAsia="zh-CN"/>
        </w:rPr>
        <w:t>年取暖费</w:t>
      </w:r>
      <w:r>
        <w:rPr>
          <w:rFonts w:hint="eastAsia" w:ascii="仿宋_GB2312" w:hAnsi="仿宋_GB2312" w:eastAsia="仿宋_GB2312" w:cs="仿宋_GB2312"/>
          <w:sz w:val="32"/>
          <w:szCs w:val="32"/>
          <w:lang w:val="en-US" w:eastAsia="zh-CN"/>
        </w:rPr>
        <w:t>15万元</w:t>
      </w:r>
      <w:r>
        <w:rPr>
          <w:rFonts w:hint="eastAsia" w:eastAsia="仿宋_GB2312"/>
          <w:sz w:val="32"/>
          <w:szCs w:val="32"/>
          <w:lang w:val="en-US" w:eastAsia="zh-CN"/>
        </w:rPr>
        <w:t>根据财政预算要求列入项目支出中；项目支出1314.5万元，比上年预算数减少</w:t>
      </w:r>
      <w:r>
        <w:rPr>
          <w:rFonts w:hint="eastAsia" w:ascii="仿宋_GB2312" w:hAnsi="仿宋_GB2312" w:eastAsia="仿宋_GB2312" w:cs="仿宋_GB2312"/>
          <w:sz w:val="32"/>
          <w:szCs w:val="32"/>
          <w:lang w:val="en-US" w:eastAsia="zh-CN"/>
        </w:rPr>
        <w:t>169.4</w:t>
      </w:r>
      <w:r>
        <w:rPr>
          <w:rFonts w:hint="eastAsia" w:eastAsia="仿宋_GB2312"/>
          <w:sz w:val="32"/>
          <w:szCs w:val="32"/>
          <w:lang w:val="en-US" w:eastAsia="zh-CN"/>
        </w:rPr>
        <w:t>万元，主要原因</w:t>
      </w:r>
      <w:r>
        <w:rPr>
          <w:rFonts w:hint="eastAsia" w:ascii="仿宋_GB2312" w:hAnsi="仿宋_GB2312" w:eastAsia="仿宋_GB2312" w:cs="仿宋_GB2312"/>
          <w:sz w:val="32"/>
          <w:szCs w:val="32"/>
          <w:lang w:val="en-US" w:eastAsia="zh-CN"/>
        </w:rPr>
        <w:t>2020</w:t>
      </w:r>
      <w:r>
        <w:rPr>
          <w:rFonts w:hint="eastAsia" w:eastAsia="仿宋_GB2312"/>
          <w:sz w:val="32"/>
          <w:szCs w:val="32"/>
          <w:lang w:val="en-US" w:eastAsia="zh-CN"/>
        </w:rPr>
        <w:t>年预算一次性采购三年的委托业务费</w:t>
      </w:r>
      <w:r>
        <w:rPr>
          <w:rFonts w:hint="eastAsia" w:ascii="仿宋_GB2312" w:hAnsi="仿宋_GB2312" w:eastAsia="仿宋_GB2312" w:cs="仿宋_GB2312"/>
          <w:sz w:val="32"/>
          <w:szCs w:val="32"/>
          <w:lang w:val="en-US" w:eastAsia="zh-CN"/>
        </w:rPr>
        <w:t>210</w:t>
      </w:r>
      <w:r>
        <w:rPr>
          <w:rFonts w:hint="eastAsia" w:eastAsia="仿宋_GB2312"/>
          <w:sz w:val="32"/>
          <w:szCs w:val="32"/>
          <w:lang w:val="en-US" w:eastAsia="zh-CN"/>
        </w:rPr>
        <w:t>万元，</w:t>
      </w:r>
      <w:r>
        <w:rPr>
          <w:rFonts w:hint="eastAsia" w:ascii="仿宋_GB2312" w:hAnsi="仿宋_GB2312" w:eastAsia="仿宋_GB2312" w:cs="仿宋_GB2312"/>
          <w:sz w:val="32"/>
          <w:szCs w:val="32"/>
          <w:lang w:val="en-US" w:eastAsia="zh-CN"/>
        </w:rPr>
        <w:t>2021</w:t>
      </w:r>
      <w:r>
        <w:rPr>
          <w:rFonts w:hint="eastAsia" w:eastAsia="仿宋_GB2312"/>
          <w:sz w:val="32"/>
          <w:szCs w:val="32"/>
          <w:lang w:val="en-US" w:eastAsia="zh-CN"/>
        </w:rPr>
        <w:t>年预算未安排。</w:t>
      </w:r>
    </w:p>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黑体" w:hAnsi="黑体" w:eastAsia="黑体"/>
          <w:color w:val="000000"/>
          <w:sz w:val="32"/>
          <w:szCs w:val="32"/>
        </w:rPr>
      </w:pP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三、政府性基金预算财政拨款支出情况说明</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政府性基金预算财政拨款</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ascii="仿宋_GB2312" w:hAnsi="仿宋_GB2312" w:eastAsia="仿宋_GB2312" w:cs="仿宋_GB2312"/>
          <w:sz w:val="32"/>
          <w:szCs w:val="32"/>
          <w:lang w:val="en-US" w:eastAsia="zh-CN"/>
        </w:rPr>
        <w:t>0</w:t>
      </w:r>
      <w:r>
        <w:rPr>
          <w:rFonts w:hint="eastAsia" w:ascii="仿宋_GB2312" w:eastAsia="仿宋_GB2312"/>
          <w:sz w:val="32"/>
          <w:szCs w:val="32"/>
        </w:rPr>
        <w:t xml:space="preserve">  </w:t>
      </w:r>
      <w:r>
        <w:rPr>
          <w:rFonts w:hint="eastAsia" w:eastAsia="仿宋_GB2312"/>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0</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我单位无政府性基金财政拨款预算</w:t>
      </w:r>
      <w:r>
        <w:rPr>
          <w:rFonts w:hint="eastAsia" w:ascii="仿宋_GB2312" w:eastAsia="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财政拨款“三公”经费预算情况说明</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我单位“三公”经费预算财政未批复，待批复后公开。</w:t>
      </w:r>
    </w:p>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黑体" w:hAnsi="黑体" w:eastAsia="黑体"/>
          <w:color w:val="000000"/>
          <w:sz w:val="32"/>
          <w:szCs w:val="32"/>
        </w:rPr>
      </w:pPr>
      <w:r>
        <w:rPr>
          <w:rFonts w:hint="eastAsia" w:ascii="楷体_GB2312" w:hAnsi="黑体" w:eastAsia="楷体_GB2312"/>
          <w:b/>
          <w:color w:val="000000"/>
          <w:sz w:val="36"/>
          <w:szCs w:val="36"/>
          <w:lang w:val="en-US" w:eastAsia="zh-CN"/>
        </w:rPr>
        <w:t xml:space="preserve">         </w:t>
      </w:r>
      <w:r>
        <w:rPr>
          <w:rFonts w:hint="eastAsia" w:ascii="楷体_GB2312" w:hAnsi="黑体" w:eastAsia="楷体_GB2312"/>
          <w:b/>
          <w:color w:val="000000"/>
          <w:sz w:val="36"/>
          <w:szCs w:val="36"/>
        </w:rPr>
        <w:t>第三部分  其他公开事项说明</w:t>
      </w:r>
    </w:p>
    <w:p>
      <w:pPr>
        <w:adjustRightInd w:val="0"/>
        <w:snapToGrid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2021年预算安排机关经费570.59万元，其中：办公费101.25万元，工会经费14.82万元，福利费18.52万元，公务车运行维护费40万元，水费1万元，电费2万元，邮电费107万元，物业管理费30万元，差旅费50万元，取暖费15万元，维修（护）费38万元，租赁费10万元，会议费7万元，培训费50万元，公务接待费3万元，协会会费3万元，印刷费30万元，手续费30万元，公告宣传费20万元。</w:t>
      </w:r>
    </w:p>
    <w:p>
      <w:p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年，我</w:t>
      </w:r>
      <w:r>
        <w:rPr>
          <w:rFonts w:hint="eastAsia" w:ascii="仿宋_GB2312" w:eastAsia="仿宋_GB2312"/>
          <w:sz w:val="32"/>
          <w:szCs w:val="32"/>
          <w:lang w:eastAsia="zh-CN"/>
        </w:rPr>
        <w:t>中心</w:t>
      </w:r>
      <w:r>
        <w:rPr>
          <w:rFonts w:hint="eastAsia" w:ascii="仿宋_GB2312" w:eastAsia="仿宋_GB2312"/>
          <w:sz w:val="32"/>
          <w:szCs w:val="32"/>
        </w:rPr>
        <w:t>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sz w:val="32"/>
          <w:szCs w:val="32"/>
          <w:lang w:val="en-US" w:eastAsia="zh-CN"/>
        </w:rPr>
        <w:t>570.59</w:t>
      </w:r>
      <w:r>
        <w:rPr>
          <w:rFonts w:hint="eastAsia" w:ascii="仿宋_GB2312" w:eastAsia="仿宋_GB2312"/>
          <w:color w:val="000000"/>
          <w:sz w:val="32"/>
          <w:szCs w:val="32"/>
        </w:rPr>
        <w:t>万元，比上年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15.48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2.64</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原因</w:t>
      </w:r>
      <w:r>
        <w:rPr>
          <w:rFonts w:hint="eastAsia" w:ascii="仿宋_GB2312" w:eastAsia="仿宋_GB2312"/>
          <w:sz w:val="32"/>
          <w:szCs w:val="32"/>
          <w:lang w:eastAsia="zh-CN"/>
        </w:rPr>
        <w:t>一是</w:t>
      </w:r>
      <w:r>
        <w:rPr>
          <w:rFonts w:hint="eastAsia" w:ascii="仿宋_GB2312" w:eastAsia="仿宋_GB2312"/>
          <w:sz w:val="32"/>
          <w:szCs w:val="32"/>
          <w:lang w:val="en-US" w:eastAsia="zh-CN"/>
        </w:rPr>
        <w:t>2021年预算专用材料费根据预算要求列入办公费中；二是</w:t>
      </w:r>
      <w:r>
        <w:rPr>
          <w:rFonts w:hint="eastAsia" w:ascii="仿宋_GB2312" w:eastAsia="仿宋_GB2312"/>
          <w:sz w:val="32"/>
          <w:szCs w:val="32"/>
          <w:lang w:eastAsia="zh-CN"/>
        </w:rPr>
        <w:t>因公积金业务开展需求量，办公费比上年减少</w:t>
      </w:r>
      <w:r>
        <w:rPr>
          <w:rFonts w:hint="eastAsia" w:ascii="仿宋_GB2312" w:eastAsia="仿宋_GB2312"/>
          <w:sz w:val="32"/>
          <w:szCs w:val="32"/>
          <w:lang w:val="en-US" w:eastAsia="zh-CN"/>
        </w:rPr>
        <w:t>10.75万元；三是手续费比上年减少4万元。</w:t>
      </w:r>
    </w:p>
    <w:p>
      <w:pPr>
        <w:numPr>
          <w:ilvl w:val="0"/>
          <w:numId w:val="2"/>
        </w:numPr>
        <w:adjustRightInd w:val="0"/>
        <w:snapToGrid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政府采购预算情况说明</w:t>
      </w:r>
    </w:p>
    <w:p>
      <w:pPr>
        <w:numPr>
          <w:ilvl w:val="0"/>
          <w:numId w:val="0"/>
        </w:numPr>
        <w:adjustRightInd w:val="0"/>
        <w:snapToGrid w:val="0"/>
        <w:spacing w:line="560" w:lineRule="exact"/>
        <w:rPr>
          <w:rFonts w:hint="eastAsia" w:ascii="仿宋_GB2312" w:hAnsi="仿宋_GB2312" w:eastAsia="仿宋_GB2312" w:cs="仿宋_GB2312"/>
          <w:color w:val="000000"/>
          <w:sz w:val="32"/>
          <w:szCs w:val="32"/>
          <w:lang w:val="en-US" w:eastAsia="zh-CN"/>
        </w:rPr>
      </w:pPr>
      <w:r>
        <w:rPr>
          <w:rFonts w:hint="eastAsia" w:ascii="黑体" w:hAnsi="黑体" w:eastAsia="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我单位政府采购预算财政未批复，待批复后公开。</w:t>
      </w:r>
    </w:p>
    <w:p>
      <w:pPr>
        <w:keepNext w:val="0"/>
        <w:keepLines w:val="0"/>
        <w:pageBreakBefore w:val="0"/>
        <w:widowControl/>
        <w:kinsoku/>
        <w:wordWrap/>
        <w:overflowPunct/>
        <w:topLinePunct w:val="0"/>
        <w:autoSpaceDE/>
        <w:autoSpaceDN/>
        <w:bidi w:val="0"/>
        <w:snapToGrid w:val="0"/>
        <w:spacing w:line="500" w:lineRule="exact"/>
        <w:ind w:firstLine="640" w:firstLineChars="200"/>
        <w:textAlignment w:val="auto"/>
        <w:rPr>
          <w:rFonts w:hint="eastAsia"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辆， 其中：</w:t>
      </w:r>
      <w:r>
        <w:rPr>
          <w:rFonts w:hint="eastAsia" w:ascii="仿宋_GB2312" w:eastAsia="仿宋_GB2312"/>
          <w:color w:val="000000"/>
          <w:sz w:val="32"/>
          <w:szCs w:val="32"/>
          <w:lang w:eastAsia="zh-CN"/>
        </w:rPr>
        <w:t>一般公务用车</w:t>
      </w:r>
      <w:r>
        <w:rPr>
          <w:rFonts w:hint="eastAsia" w:ascii="仿宋_GB2312" w:eastAsia="仿宋_GB2312"/>
          <w:color w:val="000000"/>
          <w:sz w:val="32"/>
          <w:szCs w:val="32"/>
          <w:lang w:val="en-US" w:eastAsia="zh-CN"/>
        </w:rPr>
        <w:t>15辆，与2019年相比无增加，其中有2辆车待报废。</w:t>
      </w:r>
    </w:p>
    <w:p>
      <w:pPr>
        <w:snapToGrid w:val="0"/>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截止</w:t>
      </w:r>
      <w:r>
        <w:rPr>
          <w:rFonts w:hint="eastAsia" w:ascii="仿宋_GB2312" w:eastAsia="仿宋_GB2312"/>
          <w:color w:val="000000"/>
          <w:sz w:val="32"/>
          <w:szCs w:val="32"/>
          <w:lang w:val="en-US" w:eastAsia="zh-CN"/>
        </w:rPr>
        <w:t>2020年12月31日，全盟住房公积金系统资产总额3969.67万元，其中：流动资产1308.70万元，固定资产4613.71万元，累计折旧2279.44万元，无形资产611.58万元，无形资产累计摊销284.88万元。单位价值50万元以上通用设备0台（套）；单位价值100万元以上专用设备0台（套）。</w:t>
      </w:r>
    </w:p>
    <w:p>
      <w:pPr>
        <w:keepNext w:val="0"/>
        <w:keepLines w:val="0"/>
        <w:pageBreakBefore w:val="0"/>
        <w:widowControl/>
        <w:kinsoku/>
        <w:wordWrap/>
        <w:overflowPunct/>
        <w:topLinePunct w:val="0"/>
        <w:autoSpaceDE/>
        <w:autoSpaceDN/>
        <w:bidi w:val="0"/>
        <w:snapToGrid w:val="0"/>
        <w:spacing w:line="500" w:lineRule="exact"/>
        <w:ind w:firstLine="640" w:firstLineChars="200"/>
        <w:textAlignment w:val="auto"/>
        <w:rPr>
          <w:rFonts w:hint="eastAsia"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年度项目支出绩效目标情况说明</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项目支出预算绩效目标填报情况</w:t>
      </w:r>
    </w:p>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楷体_GB2312" w:hAnsi="黑体" w:eastAsia="楷体_GB2312"/>
          <w:b/>
          <w:color w:val="000000"/>
          <w:sz w:val="36"/>
          <w:szCs w:val="36"/>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11</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11</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1314.5</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楷体_GB2312" w:hAnsi="黑体" w:eastAsia="楷体_GB2312"/>
          <w:b/>
          <w:color w:val="000000"/>
          <w:sz w:val="36"/>
          <w:szCs w:val="36"/>
          <w:lang w:val="en-US" w:eastAsia="zh-CN"/>
        </w:rPr>
        <w:t xml:space="preserve">            </w:t>
      </w:r>
      <w:r>
        <w:rPr>
          <w:rFonts w:hint="eastAsia" w:ascii="楷体_GB2312" w:hAnsi="黑体" w:eastAsia="楷体_GB2312"/>
          <w:b/>
          <w:color w:val="000000"/>
          <w:sz w:val="36"/>
          <w:szCs w:val="36"/>
        </w:rPr>
        <w:t>第四部分  名词解释</w:t>
      </w:r>
    </w:p>
    <w:p>
      <w:pPr>
        <w:keepNext w:val="0"/>
        <w:keepLines w:val="0"/>
        <w:pageBreakBefore w:val="0"/>
        <w:widowControl/>
        <w:kinsoku/>
        <w:wordWrap/>
        <w:overflowPunct/>
        <w:topLinePunct w:val="0"/>
        <w:autoSpaceDE/>
        <w:autoSpaceDN/>
        <w:bidi w:val="0"/>
        <w:snapToGrid w:val="0"/>
        <w:spacing w:line="500" w:lineRule="exact"/>
        <w:textAlignment w:val="auto"/>
        <w:rPr>
          <w:rFonts w:hint="eastAsia" w:ascii="仿宋_GB2312" w:hAnsi="宋体" w:eastAsia="仿宋_GB2312"/>
          <w:color w:val="000000"/>
          <w:sz w:val="32"/>
          <w:szCs w:val="32"/>
        </w:rPr>
      </w:pPr>
      <w:r>
        <w:rPr>
          <w:rFonts w:hint="eastAsia" w:ascii="黑体" w:hAnsi="宋体" w:eastAsia="黑体"/>
          <w:color w:val="000000"/>
          <w:sz w:val="32"/>
          <w:szCs w:val="32"/>
          <w:lang w:val="en-US" w:eastAsia="zh-CN"/>
        </w:rPr>
        <w:t xml:space="preserve">    </w:t>
      </w: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是指自治区财政当年拨付的资金。</w:t>
      </w:r>
    </w:p>
    <w:p>
      <w:pPr>
        <w:keepNext w:val="0"/>
        <w:keepLines w:val="0"/>
        <w:pageBreakBefore w:val="0"/>
        <w:widowControl/>
        <w:kinsoku/>
        <w:wordWrap/>
        <w:overflowPunct/>
        <w:topLinePunct w:val="0"/>
        <w:autoSpaceDE/>
        <w:autoSpaceDN/>
        <w:bidi w:val="0"/>
        <w:snapToGrid w:val="0"/>
        <w:spacing w:line="500" w:lineRule="exact"/>
        <w:ind w:firstLine="640" w:firstLineChars="200"/>
        <w:textAlignment w:val="auto"/>
        <w:rPr>
          <w:rFonts w:hint="eastAsia"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keepNext w:val="0"/>
        <w:keepLines w:val="0"/>
        <w:pageBreakBefore w:val="0"/>
        <w:widowControl/>
        <w:kinsoku/>
        <w:wordWrap/>
        <w:overflowPunct/>
        <w:topLinePunct w:val="0"/>
        <w:autoSpaceDE/>
        <w:autoSpaceDN/>
        <w:bidi w:val="0"/>
        <w:snapToGrid w:val="0"/>
        <w:spacing w:line="500" w:lineRule="exact"/>
        <w:ind w:firstLine="645"/>
        <w:textAlignment w:val="auto"/>
        <w:rPr>
          <w:rFonts w:hint="eastAsia"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snapToGrid w:val="0"/>
        <w:spacing w:line="500" w:lineRule="exact"/>
        <w:ind w:firstLine="645"/>
        <w:textAlignment w:val="auto"/>
        <w:rPr>
          <w:rFonts w:hint="eastAsia"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keepNext w:val="0"/>
        <w:keepLines w:val="0"/>
        <w:pageBreakBefore w:val="0"/>
        <w:widowControl/>
        <w:kinsoku/>
        <w:wordWrap/>
        <w:overflowPunct/>
        <w:topLinePunct w:val="0"/>
        <w:autoSpaceDE/>
        <w:autoSpaceDN/>
        <w:bidi w:val="0"/>
        <w:snapToGrid w:val="0"/>
        <w:spacing w:line="500" w:lineRule="exact"/>
        <w:ind w:firstLine="645"/>
        <w:textAlignment w:val="auto"/>
        <w:rPr>
          <w:rFonts w:hint="eastAsia"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keepNext w:val="0"/>
        <w:keepLines w:val="0"/>
        <w:pageBreakBefore w:val="0"/>
        <w:widowControl/>
        <w:kinsoku/>
        <w:wordWrap/>
        <w:overflowPunct/>
        <w:topLinePunct w:val="0"/>
        <w:autoSpaceDE/>
        <w:autoSpaceDN/>
        <w:bidi w:val="0"/>
        <w:snapToGrid w:val="0"/>
        <w:spacing w:line="500" w:lineRule="exact"/>
        <w:ind w:firstLine="645"/>
        <w:textAlignment w:val="auto"/>
        <w:rPr>
          <w:rFonts w:hint="eastAsia"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keepNext w:val="0"/>
        <w:keepLines w:val="0"/>
        <w:pageBreakBefore w:val="0"/>
        <w:widowControl/>
        <w:kinsoku/>
        <w:wordWrap/>
        <w:overflowPunct/>
        <w:topLinePunct w:val="0"/>
        <w:autoSpaceDE/>
        <w:autoSpaceDN/>
        <w:bidi w:val="0"/>
        <w:snapToGrid w:val="0"/>
        <w:spacing w:line="500" w:lineRule="exact"/>
        <w:ind w:firstLine="645"/>
        <w:textAlignment w:val="auto"/>
        <w:rPr>
          <w:rFonts w:hint="eastAsia"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keepNext w:val="0"/>
        <w:keepLines w:val="0"/>
        <w:pageBreakBefore w:val="0"/>
        <w:widowControl/>
        <w:kinsoku/>
        <w:wordWrap/>
        <w:overflowPunct/>
        <w:topLinePunct w:val="0"/>
        <w:autoSpaceDE/>
        <w:autoSpaceDN/>
        <w:bidi w:val="0"/>
        <w:snapToGrid w:val="0"/>
        <w:spacing w:line="500" w:lineRule="exact"/>
        <w:ind w:firstLine="645"/>
        <w:textAlignment w:val="auto"/>
        <w:rPr>
          <w:rFonts w:hint="eastAsia"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keepNext w:val="0"/>
        <w:keepLines w:val="0"/>
        <w:pageBreakBefore w:val="0"/>
        <w:widowControl/>
        <w:kinsoku/>
        <w:wordWrap/>
        <w:overflowPunct/>
        <w:topLinePunct w:val="0"/>
        <w:autoSpaceDE/>
        <w:autoSpaceDN/>
        <w:bidi w:val="0"/>
        <w:snapToGrid w:val="0"/>
        <w:spacing w:line="500" w:lineRule="exact"/>
        <w:ind w:firstLine="645"/>
        <w:textAlignment w:val="auto"/>
        <w:rPr>
          <w:rFonts w:hint="eastAsia"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snapToGrid w:val="0"/>
        <w:spacing w:line="500" w:lineRule="exact"/>
        <w:jc w:val="center"/>
        <w:textAlignment w:val="auto"/>
        <w:rPr>
          <w:rFonts w:hint="eastAsia" w:ascii="楷体_GB2312" w:hAnsi="黑体" w:eastAsia="楷体_GB2312"/>
          <w:b/>
          <w:color w:val="000000"/>
          <w:sz w:val="36"/>
          <w:szCs w:val="36"/>
        </w:rPr>
      </w:pPr>
    </w:p>
    <w:p>
      <w:pPr>
        <w:keepNext w:val="0"/>
        <w:keepLines w:val="0"/>
        <w:pageBreakBefore w:val="0"/>
        <w:widowControl/>
        <w:kinsoku/>
        <w:wordWrap/>
        <w:overflowPunct/>
        <w:topLinePunct w:val="0"/>
        <w:autoSpaceDE/>
        <w:autoSpaceDN/>
        <w:bidi w:val="0"/>
        <w:snapToGrid w:val="0"/>
        <w:spacing w:line="500" w:lineRule="exact"/>
        <w:jc w:val="center"/>
        <w:textAlignment w:val="auto"/>
        <w:rPr>
          <w:rFonts w:hint="eastAsia"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keepNext w:val="0"/>
        <w:keepLines w:val="0"/>
        <w:pageBreakBefore w:val="0"/>
        <w:widowControl/>
        <w:kinsoku/>
        <w:wordWrap/>
        <w:overflowPunct/>
        <w:topLinePunct w:val="0"/>
        <w:autoSpaceDE/>
        <w:autoSpaceDN/>
        <w:bidi w:val="0"/>
        <w:snapToGrid w:val="0"/>
        <w:spacing w:line="500" w:lineRule="exact"/>
        <w:ind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keepNext w:val="0"/>
        <w:keepLines w:val="0"/>
        <w:pageBreakBefore w:val="0"/>
        <w:widowControl/>
        <w:kinsoku/>
        <w:wordWrap/>
        <w:overflowPunct/>
        <w:topLinePunct w:val="0"/>
        <w:autoSpaceDE/>
        <w:autoSpaceDN/>
        <w:bidi w:val="0"/>
        <w:snapToGrid w:val="0"/>
        <w:spacing w:line="500" w:lineRule="exact"/>
        <w:ind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eastAsia="zh-CN"/>
        </w:rPr>
        <w:t>董霞</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8285891</w:t>
      </w:r>
    </w:p>
    <w:p>
      <w:pPr>
        <w:keepNext w:val="0"/>
        <w:keepLines w:val="0"/>
        <w:pageBreakBefore w:val="0"/>
        <w:widowControl/>
        <w:kinsoku/>
        <w:wordWrap/>
        <w:overflowPunct/>
        <w:topLinePunct w:val="0"/>
        <w:autoSpaceDE/>
        <w:autoSpaceDN/>
        <w:bidi w:val="0"/>
        <w:snapToGrid w:val="0"/>
        <w:spacing w:line="500" w:lineRule="exact"/>
        <w:jc w:val="center"/>
        <w:textAlignment w:val="auto"/>
        <w:rPr>
          <w:rFonts w:hint="eastAsia" w:ascii="楷体_GB2312" w:hAnsi="黑体" w:eastAsia="楷体_GB2312"/>
          <w:b/>
          <w:color w:val="000000"/>
          <w:sz w:val="36"/>
          <w:szCs w:val="36"/>
        </w:rPr>
      </w:pPr>
    </w:p>
    <w:p>
      <w:pPr>
        <w:keepNext w:val="0"/>
        <w:keepLines w:val="0"/>
        <w:pageBreakBefore w:val="0"/>
        <w:widowControl/>
        <w:kinsoku/>
        <w:wordWrap/>
        <w:overflowPunct/>
        <w:topLinePunct w:val="0"/>
        <w:autoSpaceDE/>
        <w:autoSpaceDN/>
        <w:bidi w:val="0"/>
        <w:snapToGrid w:val="0"/>
        <w:spacing w:line="500" w:lineRule="exact"/>
        <w:jc w:val="center"/>
        <w:textAlignment w:val="auto"/>
        <w:rPr>
          <w:rFonts w:hint="eastAsia"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详见附表：部门</w:t>
      </w:r>
      <w:r>
        <w:rPr>
          <w:rFonts w:hint="eastAsia" w:ascii="仿宋_GB2312" w:hAnsi="黑体" w:eastAsia="仿宋_GB2312"/>
          <w:color w:val="000000"/>
          <w:sz w:val="32"/>
          <w:szCs w:val="32"/>
          <w:lang w:eastAsia="zh-CN"/>
        </w:rPr>
        <w:t>所属单位</w:t>
      </w:r>
      <w:r>
        <w:rPr>
          <w:rFonts w:hint="eastAsia" w:ascii="仿宋_GB2312" w:hAnsi="黑体" w:eastAsia="仿宋_GB2312"/>
          <w:color w:val="000000"/>
          <w:sz w:val="32"/>
          <w:szCs w:val="32"/>
        </w:rPr>
        <w:t>预算公开</w:t>
      </w:r>
      <w:r>
        <w:rPr>
          <w:rFonts w:hint="eastAsia" w:ascii="仿宋_GB2312" w:hAnsi="黑体" w:eastAsia="仿宋_GB2312"/>
          <w:color w:val="000000"/>
          <w:sz w:val="32"/>
          <w:szCs w:val="32"/>
          <w:lang w:val="en-US" w:eastAsia="zh-CN"/>
        </w:rPr>
        <w:t>10</w:t>
      </w:r>
      <w:r>
        <w:rPr>
          <w:rFonts w:hint="eastAsia" w:ascii="仿宋_GB2312" w:hAnsi="黑体" w:eastAsia="仿宋_GB2312"/>
          <w:color w:val="000000"/>
          <w:sz w:val="32"/>
          <w:szCs w:val="32"/>
        </w:rPr>
        <w:t>张表以</w:t>
      </w:r>
      <w:r>
        <w:rPr>
          <w:rFonts w:hint="eastAsia" w:ascii="仿宋_GB2312" w:hAnsi="黑体" w:eastAsia="仿宋_GB2312"/>
          <w:color w:val="000000"/>
          <w:sz w:val="32"/>
          <w:szCs w:val="32"/>
          <w:lang w:eastAsia="zh-CN"/>
        </w:rPr>
        <w:t>分表形式按系统要求上传。</w:t>
      </w:r>
      <w:r>
        <w:rPr>
          <w:rFonts w:hint="eastAsia" w:ascii="仿宋_GB2312" w:hAnsi="黑体" w:eastAsia="仿宋_GB2312"/>
          <w:color w:val="000000"/>
          <w:sz w:val="32"/>
          <w:szCs w:val="32"/>
        </w:rPr>
        <w:t>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A5FD2"/>
    <w:multiLevelType w:val="singleLevel"/>
    <w:tmpl w:val="609A5FD2"/>
    <w:lvl w:ilvl="0" w:tentative="0">
      <w:start w:val="4"/>
      <w:numFmt w:val="chineseCounting"/>
      <w:suff w:val="nothing"/>
      <w:lvlText w:val="%1、"/>
      <w:lvlJc w:val="left"/>
    </w:lvl>
  </w:abstractNum>
  <w:abstractNum w:abstractNumId="1">
    <w:nsid w:val="609A6A8C"/>
    <w:multiLevelType w:val="singleLevel"/>
    <w:tmpl w:val="609A6A8C"/>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6D84"/>
    <w:rsid w:val="01310343"/>
    <w:rsid w:val="0C003D9C"/>
    <w:rsid w:val="10F03978"/>
    <w:rsid w:val="12E63226"/>
    <w:rsid w:val="13ED2A80"/>
    <w:rsid w:val="251B64A3"/>
    <w:rsid w:val="292E654D"/>
    <w:rsid w:val="2E4F23B8"/>
    <w:rsid w:val="2F183012"/>
    <w:rsid w:val="33DB027D"/>
    <w:rsid w:val="347A5461"/>
    <w:rsid w:val="371134C5"/>
    <w:rsid w:val="42AB51E7"/>
    <w:rsid w:val="4BCA1D61"/>
    <w:rsid w:val="58151B5B"/>
    <w:rsid w:val="59936D84"/>
    <w:rsid w:val="5E9C0E80"/>
    <w:rsid w:val="5F1B2F4E"/>
    <w:rsid w:val="61F322E4"/>
    <w:rsid w:val="65C173C9"/>
    <w:rsid w:val="65C96203"/>
    <w:rsid w:val="67092B7F"/>
    <w:rsid w:val="6B775B46"/>
    <w:rsid w:val="75E7220F"/>
    <w:rsid w:val="774647DC"/>
    <w:rsid w:val="77626A9A"/>
    <w:rsid w:val="78701962"/>
    <w:rsid w:val="79AF40E1"/>
    <w:rsid w:val="7E5C2810"/>
    <w:rsid w:val="7E744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匆匆那年</cp:lastModifiedBy>
  <cp:lastPrinted>2021-05-12T08:12:00Z</cp:lastPrinted>
  <dcterms:modified xsi:type="dcterms:W3CDTF">2021-05-13T07:44:58Z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CD0A11407A324D528CBD92B159CCE625</vt:lpwstr>
  </property>
</Properties>
</file>